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Pr="006E65F1" w:rsidRDefault="00955FA7" w:rsidP="00955FA7">
      <w:pPr>
        <w:spacing w:before="120" w:line="276" w:lineRule="auto"/>
        <w:jc w:val="center"/>
        <w:rPr>
          <w:rFonts w:ascii="Calibri" w:hAnsi="Calibri" w:cs="Arial"/>
          <w:color w:val="000000" w:themeColor="text1"/>
          <w:lang w:val="el-GR"/>
        </w:rPr>
      </w:pPr>
      <w:r w:rsidRPr="006E65F1">
        <w:rPr>
          <w:rFonts w:ascii="Calibri" w:hAnsi="Calibri" w:cs="Arial"/>
          <w:b/>
          <w:color w:val="000000" w:themeColor="text1"/>
          <w:lang w:val="el-GR"/>
        </w:rPr>
        <w:t>ΠΕΡΙΓΡΑΜΜΑ ΜΑΘΗΜΑΤΟΣ</w:t>
      </w:r>
    </w:p>
    <w:p w:rsidR="00955FA7" w:rsidRPr="006E65F1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6E65F1">
        <w:rPr>
          <w:rFonts w:ascii="Calibri" w:hAnsi="Calibri" w:cs="Arial"/>
          <w:b/>
          <w:color w:val="000000" w:themeColor="text1"/>
          <w:sz w:val="22"/>
          <w:szCs w:val="22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55FA7" w:rsidRPr="006E65F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E65F1" w:rsidRDefault="00955FA7" w:rsidP="006E65F1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E65F1" w:rsidRDefault="001649E2" w:rsidP="006E65F1">
            <w:pPr>
              <w:spacing w:after="80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ΕΠΙΣΤΗΜΩΝ ΑΓΩΓΗΣ</w:t>
            </w:r>
          </w:p>
        </w:tc>
      </w:tr>
      <w:tr w:rsidR="00955FA7" w:rsidRPr="006E65F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E65F1" w:rsidRDefault="00955FA7" w:rsidP="006E65F1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E65F1" w:rsidRDefault="001649E2" w:rsidP="006E65F1">
            <w:pPr>
              <w:spacing w:after="80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ΠΑΙΔΑΓΩΓΙΚΟ ΝΗΠΙΑΓΩΓΩΝ</w:t>
            </w:r>
          </w:p>
        </w:tc>
      </w:tr>
      <w:tr w:rsidR="00955FA7" w:rsidRPr="006E65F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E65F1" w:rsidRDefault="00955FA7" w:rsidP="006E65F1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E65F1" w:rsidRDefault="003A74B8" w:rsidP="006E65F1">
            <w:pPr>
              <w:spacing w:after="80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6</w:t>
            </w: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vertAlign w:val="superscript"/>
                <w:lang w:val="el-GR"/>
              </w:rPr>
              <w:t>ο</w:t>
            </w: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</w:tr>
      <w:tr w:rsidR="00955FA7" w:rsidRPr="006E65F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E65F1" w:rsidRDefault="00955FA7" w:rsidP="006E65F1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E65F1" w:rsidRDefault="001649E2" w:rsidP="006E65F1">
            <w:pPr>
              <w:spacing w:after="80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ΠΝΕ 140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E65F1" w:rsidRDefault="00955FA7" w:rsidP="006E65F1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E65F1" w:rsidRDefault="001649E2" w:rsidP="006E65F1">
            <w:pPr>
              <w:spacing w:after="80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Γ’ </w:t>
            </w:r>
          </w:p>
        </w:tc>
      </w:tr>
      <w:tr w:rsidR="00955FA7" w:rsidRPr="009D296D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6E65F1" w:rsidRDefault="00955FA7" w:rsidP="006E65F1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6E65F1" w:rsidRDefault="005F0821" w:rsidP="006E65F1">
            <w:pPr>
              <w:spacing w:after="80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l-GR"/>
              </w:rPr>
              <w:t>Εισαγωγή στη διαπολιτισμική εκπαίδευση και τη διδακτική της ελληνικής ως δεύτερης γλώσσας</w:t>
            </w:r>
          </w:p>
        </w:tc>
      </w:tr>
      <w:tr w:rsidR="00955FA7" w:rsidRPr="006E65F1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6E65F1" w:rsidRDefault="00955FA7" w:rsidP="006E65F1">
            <w:pPr>
              <w:spacing w:after="8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6E65F1" w:rsidRDefault="00955FA7" w:rsidP="006E65F1">
            <w:pPr>
              <w:spacing w:after="8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ΕΒΔΟΜΑΔΙΑΙΕΣ</w:t>
            </w: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br/>
              <w:t>ΩΡΕΣ Δ</w:t>
            </w: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6E65F1" w:rsidRDefault="00955FA7" w:rsidP="006E65F1">
            <w:pPr>
              <w:spacing w:after="80"/>
              <w:jc w:val="center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955FA7" w:rsidRPr="006E65F1" w:rsidTr="00D0383F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A7" w:rsidRPr="006E65F1" w:rsidRDefault="00D0383F" w:rsidP="006E65F1">
            <w:pPr>
              <w:spacing w:after="80"/>
              <w:jc w:val="right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Διαλέξεις / </w:t>
            </w:r>
            <w:proofErr w:type="spellStart"/>
            <w:r w:rsidRPr="006E65F1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Διαδραστική</w:t>
            </w:r>
            <w:proofErr w:type="spellEnd"/>
            <w:r w:rsidRPr="006E65F1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 Διδασκαλία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E65F1" w:rsidRDefault="001649E2" w:rsidP="006E65F1">
            <w:pPr>
              <w:spacing w:after="8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E65F1" w:rsidRDefault="00CB3946" w:rsidP="006E65F1">
            <w:pPr>
              <w:spacing w:after="8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4</w:t>
            </w:r>
          </w:p>
        </w:tc>
      </w:tr>
      <w:tr w:rsidR="00955FA7" w:rsidRPr="006E65F1" w:rsidTr="00955FA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E65F1" w:rsidRDefault="008C7ACC" w:rsidP="006E65F1">
            <w:pPr>
              <w:spacing w:after="80"/>
              <w:jc w:val="right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Φροντιστήριο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E65F1" w:rsidRDefault="008C7ACC" w:rsidP="006E65F1">
            <w:pPr>
              <w:spacing w:after="8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E65F1" w:rsidRDefault="00955FA7" w:rsidP="006E65F1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955FA7" w:rsidRPr="006E65F1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E65F1" w:rsidRDefault="00955FA7" w:rsidP="006E65F1">
            <w:pPr>
              <w:spacing w:after="80"/>
              <w:jc w:val="right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ΤΥΠΟΣ ΜΑΘΗΜΑΤΟΣ</w:t>
            </w:r>
            <w:r w:rsidRPr="006E65F1"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  <w:t xml:space="preserve"> </w:t>
            </w:r>
          </w:p>
          <w:p w:rsidR="00955FA7" w:rsidRPr="006E65F1" w:rsidRDefault="00955FA7" w:rsidP="006E65F1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E2" w:rsidRPr="006E65F1" w:rsidRDefault="006E65F1" w:rsidP="006E65F1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ΓΕΝΙΚΟΥ ΥΠΟΒΑΘΡΟΥ</w:t>
            </w:r>
          </w:p>
        </w:tc>
      </w:tr>
      <w:tr w:rsidR="00955FA7" w:rsidRPr="006E65F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E65F1" w:rsidRDefault="00955FA7" w:rsidP="006E65F1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ΠΡΟΑΠΑΙΤΟΥΜΕΝΑ ΜΑΘΗΜΑΤΑ:</w:t>
            </w:r>
          </w:p>
          <w:p w:rsidR="00955FA7" w:rsidRPr="006E65F1" w:rsidRDefault="00955FA7" w:rsidP="006E65F1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E65F1" w:rsidRDefault="006E65F1" w:rsidP="006E65F1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ΟΧΙ</w:t>
            </w:r>
          </w:p>
        </w:tc>
      </w:tr>
      <w:tr w:rsidR="00955FA7" w:rsidRPr="006E65F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E65F1" w:rsidRDefault="00955FA7" w:rsidP="006E65F1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Γ</w:t>
            </w: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ΛΩΣΣΑ ΔΙΔΑΣΚΑΛΙΑΣ</w:t>
            </w: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 και ΕΞΕΤΑΣΕΩΝ</w:t>
            </w: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E65F1" w:rsidRDefault="001649E2" w:rsidP="006E65F1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ΕΛΛΗΝΙΚΗ</w:t>
            </w:r>
            <w:r w:rsidR="00380264" w:rsidRPr="006E65F1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</w:tr>
      <w:tr w:rsidR="00955FA7" w:rsidRPr="006E65F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E65F1" w:rsidRDefault="00955FA7" w:rsidP="006E65F1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ΤΟ ΜΑΘΗΜΑ ΠΡΟΣΦΕΡΕΤΑΙ ΣΕ ΦΟΙΤΗΤΕΣ </w:t>
            </w: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n-GB"/>
              </w:rPr>
              <w:t>ERASMUS</w:t>
            </w: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E65F1" w:rsidRDefault="001649E2" w:rsidP="006E65F1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  <w:t>ΝΑΙ</w:t>
            </w:r>
          </w:p>
        </w:tc>
      </w:tr>
      <w:tr w:rsidR="00955FA7" w:rsidRPr="006E65F1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E65F1" w:rsidRDefault="00955FA7" w:rsidP="006E65F1">
            <w:pPr>
              <w:spacing w:after="80"/>
              <w:jc w:val="right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ΗΛΕΚΤΡΟΝΙΚΗ ΣΕΛΙΔΑ ΜΑΘΗΜΑΤΟΣ (</w:t>
            </w: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n-GB"/>
              </w:rPr>
              <w:t>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E65F1" w:rsidRDefault="00CB3946" w:rsidP="006E65F1">
            <w:pPr>
              <w:spacing w:after="80"/>
              <w:rPr>
                <w:rFonts w:ascii="Calibri" w:hAnsi="Calibri" w:cs="Arial"/>
                <w:color w:val="000000" w:themeColor="text1"/>
                <w:sz w:val="20"/>
                <w:szCs w:val="20"/>
                <w:lang w:val="en-GB"/>
              </w:rPr>
            </w:pPr>
            <w:r w:rsidRPr="006E65F1">
              <w:rPr>
                <w:rFonts w:ascii="Calibri" w:hAnsi="Calibri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hyperlink r:id="rId5" w:history="1">
              <w:r w:rsidR="001306B7" w:rsidRPr="006E65F1">
                <w:rPr>
                  <w:rStyle w:val="-"/>
                  <w:rFonts w:ascii="Calibri" w:hAnsi="Calibri" w:cs="Arial"/>
                  <w:color w:val="000000" w:themeColor="text1"/>
                  <w:sz w:val="20"/>
                  <w:szCs w:val="20"/>
                  <w:lang w:val="en-GB"/>
                </w:rPr>
                <w:t>http://ecourse.uoi.gr/enrol/index.php?id=447</w:t>
              </w:r>
            </w:hyperlink>
            <w:r w:rsidR="001306B7" w:rsidRPr="006E65F1">
              <w:rPr>
                <w:rFonts w:ascii="Calibri" w:hAnsi="Calibri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955FA7" w:rsidRPr="006E65F1" w:rsidRDefault="00955FA7" w:rsidP="00955FA7">
      <w:pPr>
        <w:rPr>
          <w:color w:val="000000" w:themeColor="text1"/>
          <w:lang w:val="en-GB"/>
        </w:rPr>
      </w:pPr>
    </w:p>
    <w:p w:rsidR="00955FA7" w:rsidRPr="006E65F1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  <w:r w:rsidRPr="006E65F1"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6E65F1" w:rsidTr="006E65F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E65F1" w:rsidRDefault="00955FA7" w:rsidP="006E65F1">
            <w:pPr>
              <w:spacing w:after="80"/>
              <w:rPr>
                <w:rFonts w:ascii="Calibri" w:hAnsi="Calibri" w:cs="Arial"/>
                <w:i/>
                <w:color w:val="000000" w:themeColor="text1"/>
                <w:sz w:val="16"/>
                <w:szCs w:val="16"/>
                <w:lang w:val="el-GR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955FA7" w:rsidRPr="009D296D" w:rsidTr="006E65F1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5FA7" w:rsidRPr="006E65F1" w:rsidRDefault="00A73859" w:rsidP="006E65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Η αναγνώριση, ο προσδιορισμός και η περιγραφή του πολιτισμού ως δυναμικής διαδικασίας με οικουμενικά χαρακτηριστικά.</w:t>
            </w:r>
          </w:p>
          <w:p w:rsidR="00A73859" w:rsidRPr="006E65F1" w:rsidRDefault="00A73859" w:rsidP="006E65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Η συνθετική κατανόηση των αλληλένδετων και δυναμικών εννοιών της ταυτότητας και ετερότητας, η αναγνώριση του κρίσιμου ρόλου της αυτό-εικόνας</w:t>
            </w:r>
            <w:r w:rsidR="00276257"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 και της ενδυναμωτικής εκπαιδευτικής αντιμετώπισης του </w:t>
            </w:r>
            <w:proofErr w:type="spellStart"/>
            <w:r w:rsidR="000F2E5E"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υπερ</w:t>
            </w:r>
            <w:r w:rsidR="00276257"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ποικιλόμορφου</w:t>
            </w:r>
            <w:proofErr w:type="spellEnd"/>
            <w:r w:rsidR="00276257"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 μαθητικού πληθυσμού.</w:t>
            </w:r>
          </w:p>
          <w:p w:rsidR="00276257" w:rsidRPr="006E65F1" w:rsidRDefault="00276257" w:rsidP="006E65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Η κατανόηση της διαπολιτισμικής εκπαίδευσης ως προσπάθειας συγκρότησης σχέσεων ισότητας, εκτίμησης και </w:t>
            </w:r>
            <w:proofErr w:type="spellStart"/>
            <w:r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αλληλοαποδοχής</w:t>
            </w:r>
            <w:proofErr w:type="spellEnd"/>
            <w:r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 μεταξύ όλων των συνιστωσών του διδακτικού τριγώνου, αλλά και η ανάπτυξη μιας ευρύτερα κοινωνικής ευαισθητοποίησης, απαραίτητης για την επιτυχία του διαπολιτισμι</w:t>
            </w:r>
            <w:r w:rsidR="009A609A"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κού εκπαιδευτικού έργου. Ανάλυση</w:t>
            </w:r>
            <w:r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 της έννοιας της </w:t>
            </w:r>
            <w:proofErr w:type="spellStart"/>
            <w:r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ενσυναίσθησης</w:t>
            </w:r>
            <w:proofErr w:type="spellEnd"/>
            <w:r w:rsidR="009A609A"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 (</w:t>
            </w:r>
            <w:proofErr w:type="spellStart"/>
            <w:r w:rsidR="009A609A"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empathy</w:t>
            </w:r>
            <w:proofErr w:type="spellEnd"/>
            <w:r w:rsidR="009A609A"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)</w:t>
            </w:r>
            <w:r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.</w:t>
            </w:r>
          </w:p>
          <w:p w:rsidR="00276257" w:rsidRPr="006E65F1" w:rsidRDefault="00A73859" w:rsidP="006E65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Η γνώση και κριτική </w:t>
            </w:r>
            <w:r w:rsidR="00276257"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ανάλυση </w:t>
            </w:r>
            <w:r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 των εκπαιδευτικών μέτρων που </w:t>
            </w:r>
            <w:r w:rsidR="00276257"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έχουν ληφθεί και που </w:t>
            </w:r>
            <w:r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λαμβάνονται  για τη διαχείριση της </w:t>
            </w:r>
            <w:r w:rsidR="00276257"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μαθητικής ποικιλομορφίας με ειδική μνεία στην περίπτωση των προσφύγων μαθητών</w:t>
            </w:r>
            <w:r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.</w:t>
            </w:r>
          </w:p>
          <w:p w:rsidR="00A73859" w:rsidRPr="006E65F1" w:rsidRDefault="00276257" w:rsidP="006E65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A73859"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Η συνειδητοποίηση της αλληλεπίδρασης </w:t>
            </w:r>
            <w:r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πρώτης</w:t>
            </w:r>
            <w:r w:rsidR="00A73859"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 και δεύτερης γλώσσας και των ειδικών χαρακτηριστικών της κατάκτησης/</w:t>
            </w:r>
            <w:r w:rsidR="005F0821"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εκμάθησης</w:t>
            </w:r>
            <w:r w:rsidR="00A73859"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 της ελληνικής γλώσσας ως δεύτερης/ξένης.</w:t>
            </w:r>
          </w:p>
          <w:p w:rsidR="00955FA7" w:rsidRPr="006E65F1" w:rsidRDefault="00A73859" w:rsidP="006E65F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0"/>
              <w:ind w:left="567" w:hanging="283"/>
              <w:jc w:val="both"/>
              <w:rPr>
                <w:rFonts w:ascii="Calibri" w:hAnsi="Calibri" w:cs="Arial"/>
                <w:i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Η επίγνωση των πολλαπλών στρατηγικών γλωσσικής εκμάθησης και η επιλεκτική προσαρμογή τους στις εκάστοτε συνθήκες</w:t>
            </w:r>
            <w:r w:rsidR="000F2E5E"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 xml:space="preserve"> μάθησης</w:t>
            </w:r>
            <w:r w:rsidRPr="006E65F1"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  <w:t>.</w:t>
            </w:r>
          </w:p>
          <w:p w:rsidR="006E65F1" w:rsidRPr="006E65F1" w:rsidRDefault="006E65F1" w:rsidP="006E65F1">
            <w:pPr>
              <w:widowControl w:val="0"/>
              <w:autoSpaceDE w:val="0"/>
              <w:autoSpaceDN w:val="0"/>
              <w:adjustRightInd w:val="0"/>
              <w:spacing w:after="80"/>
              <w:ind w:left="567"/>
              <w:jc w:val="both"/>
              <w:rPr>
                <w:rFonts w:ascii="Calibri" w:hAnsi="Calibri" w:cs="Arial"/>
                <w:i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955FA7" w:rsidRPr="006E65F1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F4FC8" w:rsidRPr="006E65F1" w:rsidRDefault="00955FA7" w:rsidP="006E65F1">
            <w:pPr>
              <w:spacing w:after="80"/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="Calibri" w:hAnsi="Calibri" w:cs="Arial"/>
                <w:b/>
                <w:color w:val="000000" w:themeColor="text1"/>
                <w:sz w:val="20"/>
                <w:szCs w:val="20"/>
                <w:lang w:val="el-GR"/>
              </w:rPr>
              <w:lastRenderedPageBreak/>
              <w:t>Γενικές Ικανότητες</w:t>
            </w:r>
          </w:p>
        </w:tc>
      </w:tr>
      <w:tr w:rsidR="00955FA7" w:rsidRPr="009D296D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5E" w:rsidRPr="006E65F1" w:rsidRDefault="000F2E5E" w:rsidP="006E65F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Σεβασμός στη διαφορετικότητα και στην πολυπολιτισμικότητα </w:t>
            </w:r>
          </w:p>
          <w:p w:rsidR="000F2E5E" w:rsidRPr="006E65F1" w:rsidRDefault="000F2E5E" w:rsidP="006E65F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>Ικανότητα εντοπισμού των πολλαπλών στρατηγικών έκφρασης της ταυτότητας και ενίσχυση της αυτοεκτίμησης των μαθητών/</w:t>
            </w:r>
            <w:proofErr w:type="spellStart"/>
            <w:r w:rsidRPr="006E65F1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>ριών</w:t>
            </w:r>
            <w:proofErr w:type="spellEnd"/>
            <w:r w:rsidRPr="006E65F1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>.</w:t>
            </w:r>
          </w:p>
          <w:p w:rsidR="00E12B97" w:rsidRPr="006E65F1" w:rsidRDefault="00E12B97" w:rsidP="006E65F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>Προσαρμοστικότητα και ευελιξία στην επαφή με πολιτισμικά ανοίκεια πρότυπα και περιβάλλοντα.</w:t>
            </w:r>
          </w:p>
          <w:p w:rsidR="00E12B97" w:rsidRPr="006E65F1" w:rsidRDefault="000F2E5E" w:rsidP="006E65F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 Προσαρμογή του εκπαιδευτικού έργου στις ανάγκες των δίγλωσσων μαθητών/ριών  </w:t>
            </w:r>
            <w:r w:rsidR="00E12B97" w:rsidRPr="006E65F1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 xml:space="preserve">που προέρχονται από μεταναστευτικές/προσφυγικές κινήσεις. Ολιστικές </w:t>
            </w:r>
            <w:proofErr w:type="spellStart"/>
            <w:r w:rsidR="00E12B97" w:rsidRPr="006E65F1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>προσσεγίσεις</w:t>
            </w:r>
            <w:proofErr w:type="spellEnd"/>
            <w:r w:rsidR="00E12B97" w:rsidRPr="006E65F1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>.</w:t>
            </w:r>
          </w:p>
          <w:p w:rsidR="00955FA7" w:rsidRPr="006E65F1" w:rsidRDefault="00E12B97" w:rsidP="006E65F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  <w:lang w:val="el-GR"/>
              </w:rPr>
              <w:t>Α</w:t>
            </w:r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ποτελεσματική διδασκαλία της ελληνικής ως δεύτερης/ξένης γλώσσας με σκοπό τη γλωσσική, γνωστική και ψυχοκ</w:t>
            </w:r>
            <w:r w:rsidR="005F0821"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οινωνική ένταξη των νεοεισερχόμεν</w:t>
            </w:r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ων μαθητών </w:t>
            </w:r>
            <w:r w:rsidR="000F2E5E"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στο εκπαιδευτικό και κοινωνικό περιβάλλον.</w:t>
            </w:r>
          </w:p>
        </w:tc>
      </w:tr>
    </w:tbl>
    <w:p w:rsidR="009D296D" w:rsidRDefault="009D296D" w:rsidP="009D296D">
      <w:pPr>
        <w:widowControl w:val="0"/>
        <w:autoSpaceDE w:val="0"/>
        <w:autoSpaceDN w:val="0"/>
        <w:adjustRightInd w:val="0"/>
        <w:spacing w:after="80"/>
        <w:ind w:left="357"/>
        <w:rPr>
          <w:rFonts w:ascii="Calibri" w:hAnsi="Calibri" w:cs="Arial"/>
          <w:b/>
          <w:color w:val="000000" w:themeColor="text1"/>
          <w:sz w:val="20"/>
          <w:szCs w:val="20"/>
          <w:lang w:val="el-GR"/>
        </w:rPr>
      </w:pPr>
    </w:p>
    <w:p w:rsidR="00955FA7" w:rsidRPr="009D296D" w:rsidRDefault="00955FA7" w:rsidP="009D29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9D296D">
        <w:rPr>
          <w:rFonts w:ascii="Calibri" w:hAnsi="Calibri" w:cs="Arial"/>
          <w:b/>
          <w:color w:val="000000" w:themeColor="text1"/>
          <w:sz w:val="22"/>
          <w:szCs w:val="22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9D296D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21" w:rsidRPr="006E65F1" w:rsidRDefault="005F5DD2" w:rsidP="003A74B8">
            <w:pPr>
              <w:pStyle w:val="a5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Στο πρώτο μέρος του μαθήματος συζητούνται βασικές αρχές και έννοιες της διαπολιτισμικής παιδαγωγικής, όπως ο πολιτισμός, η πολυπολιτισμικότητα και η διαπολιτισμικότητα. Στόχος είναι η κατανόηση της σημασίας παροχής ισότιμης εκπαίδευσης με βάση τις ανάγκες και την ατομικότητα όλων των μαθητών/</w:t>
            </w:r>
            <w:proofErr w:type="spellStart"/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ριών</w:t>
            </w:r>
            <w:proofErr w:type="spellEnd"/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. Στο πλαίσιο αυτό υπογραμμίζεται η ανάγκη αποδυνάμωσης του εθνοκεντρικού πνεύματος, ανάπτυξης της </w:t>
            </w:r>
            <w:proofErr w:type="spellStart"/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ενσυναίσθησης</w:t>
            </w:r>
            <w:proofErr w:type="spellEnd"/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, αναγνώρισης και </w:t>
            </w:r>
            <w:proofErr w:type="spellStart"/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αξιοδότησης</w:t>
            </w:r>
            <w:proofErr w:type="spellEnd"/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 του μορφωτικού κεφαλαίου των πολιτισμικά διαφερόντων μαθητών/</w:t>
            </w:r>
            <w:proofErr w:type="spellStart"/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ριών</w:t>
            </w:r>
            <w:proofErr w:type="spellEnd"/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. Εξετάζεται επίσης η έννοια της ταυτότητας, και η δυναμική και κριτική συγκρότησή ως προϋπόθεση ανάπτυξης αυτοεκτίμησης και διαπολιτισμικής επικοινωνίας. Γίνεται αναφορά σε ιστορικά και </w:t>
            </w:r>
            <w:proofErr w:type="spellStart"/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κοινωνικοπολιτισμικά</w:t>
            </w:r>
            <w:proofErr w:type="spellEnd"/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χαρακτηριστικά βασικών μεταναστευτικών κατηγοριών (πρόσφυγες, παλιννοστούντες, μετανάστες) για να συνδεθούν, στη συνέχεια, με τις εκπαιδευτικές ρυθμίσεις που αφορούν τον πολύμορφο μαθητικό πλη</w:t>
            </w:r>
            <w:r w:rsidR="005F0821"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θυσμό. Ειδική μνεία γίνεται σ</w:t>
            </w:r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τον (μαθητικό) πληθυσμό προσφυγικής προέλευσης που εισέρχεται στην Ελλάδα από το 2015. </w:t>
            </w:r>
          </w:p>
          <w:p w:rsidR="005F5DD2" w:rsidRPr="006E65F1" w:rsidRDefault="005F5DD2" w:rsidP="006E65F1">
            <w:pPr>
              <w:pStyle w:val="a5"/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Στο δεύτερο μέρος του μαθήματος, μελετάται η έννοια της διγλωσσίας, ως ένα από τα βασικά χαρακτηριστικά των μαθητών με μεταναστευτικό/προσφυγικό υ</w:t>
            </w:r>
            <w:r w:rsidR="005F0821"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πόβαθρο. Με βάση τη θεωρία της Α</w:t>
            </w:r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λλ</w:t>
            </w:r>
            <w:r w:rsidR="005F0821"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ηλεξάρτησης των Γ</w:t>
            </w:r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λωσσών, και, υπογραμμίζοντας τον ρόλο του </w:t>
            </w:r>
            <w:proofErr w:type="spellStart"/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>κοινωνικοπολιτισμικού</w:t>
            </w:r>
            <w:proofErr w:type="spellEnd"/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πλαισίου εντός του οποίου συντελείται η γλωσσική διδασκαλία-εκμάθηση, μελετώνται τα ειδικά χαρακτηριστικά της εκμάθησης - και συνακόλουθα- της διδασκαλίας των δεύτερων/ξένων γλωσσών, ειδικότερα, της ελληνικής ως δεύτερης γλώσσας. Διακρίνονται οι τέσσερις γλωσσικές δεξιότητες και δίνεται έμφαση στην κατανόηση και παραγωγή προφορικού λόγου</w:t>
            </w:r>
            <w:r w:rsidR="005F0821"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έτσι όπως</w:t>
            </w:r>
            <w:r w:rsidRPr="006E6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l-GR"/>
              </w:rPr>
              <w:t xml:space="preserve"> αναπτύσσονται στη νηπιακή ηλικία. Τέλος, αναδεικνύεται η ποικιλία των στρατηγικών μάθησης και η σημασία επιλογής τους βάσει των διδακτικών στόχων, αλλά και των ατομικών κλίσεων του μαθητή.</w:t>
            </w:r>
          </w:p>
        </w:tc>
      </w:tr>
    </w:tbl>
    <w:p w:rsidR="006E65F1" w:rsidRDefault="006E65F1" w:rsidP="006E65F1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</w:p>
    <w:p w:rsidR="00955FA7" w:rsidRPr="009D296D" w:rsidRDefault="00955FA7" w:rsidP="001306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9D296D">
        <w:rPr>
          <w:rFonts w:ascii="Calibri" w:hAnsi="Calibri" w:cs="Arial"/>
          <w:b/>
          <w:color w:val="000000" w:themeColor="text1"/>
          <w:sz w:val="22"/>
          <w:szCs w:val="22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55FA7" w:rsidRPr="006E65F1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E65F1" w:rsidRDefault="00955FA7" w:rsidP="00974A9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ΤΡΟΠΟΣ ΠΑΡΑΔΟΣΗΣ</w:t>
            </w:r>
            <w:r w:rsidRPr="006E65F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B7" w:rsidRPr="006E65F1" w:rsidRDefault="009E0BCD" w:rsidP="008C7ACC">
            <w:pPr>
              <w:spacing w:after="20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Πρόσωπο με πρόσωπο</w:t>
            </w:r>
          </w:p>
        </w:tc>
      </w:tr>
      <w:tr w:rsidR="00955FA7" w:rsidRPr="009D296D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E65F1" w:rsidRDefault="00955FA7" w:rsidP="00974A93">
            <w:pPr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6E65F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6E65F1" w:rsidRDefault="005F08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Χρήση </w:t>
            </w: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t>ppt</w:t>
            </w:r>
            <w:proofErr w:type="spellEnd"/>
          </w:p>
          <w:p w:rsidR="009A609A" w:rsidRPr="006E65F1" w:rsidRDefault="005F0821" w:rsidP="009A609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Βίντεο προβολές</w:t>
            </w:r>
          </w:p>
          <w:p w:rsidR="005F0821" w:rsidRPr="006E65F1" w:rsidRDefault="005F0821" w:rsidP="009A609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Έρευνα στο διαδίκτυο</w:t>
            </w:r>
          </w:p>
          <w:p w:rsidR="005F0821" w:rsidRPr="006E65F1" w:rsidRDefault="005F0821" w:rsidP="009A609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Ηλεκτρονική επικοινωνία με τις φοιτήτριες</w:t>
            </w:r>
          </w:p>
          <w:p w:rsidR="009A609A" w:rsidRPr="006E65F1" w:rsidRDefault="005F0821" w:rsidP="009A609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Πλατφόρμα </w:t>
            </w:r>
            <w:r w:rsidR="009A609A"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EA08CA"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-</w:t>
            </w:r>
            <w:r w:rsidR="009A609A"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course</w:t>
            </w:r>
          </w:p>
        </w:tc>
      </w:tr>
      <w:tr w:rsidR="00955FA7" w:rsidRPr="006E65F1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6E65F1" w:rsidRDefault="00955FA7" w:rsidP="00974A9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t>ΟΡΓΑΝΩΣΗ ΔΙΔΑΣΚΑΛΙΑΣ</w:t>
            </w:r>
          </w:p>
          <w:p w:rsidR="00955FA7" w:rsidRPr="006E65F1" w:rsidRDefault="00955FA7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 w:rsidRPr="006E65F1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6E65F1" w:rsidRDefault="00955FA7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E65F1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lastRenderedPageBreak/>
                    <w:t>Δραστηριότητα</w:t>
                  </w:r>
                  <w:proofErr w:type="spellEnd"/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6E65F1" w:rsidRDefault="00955FA7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6E65F1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>Φόρτος</w:t>
                  </w:r>
                  <w:proofErr w:type="spellEnd"/>
                  <w:r w:rsidRPr="006E65F1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65F1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>Εργασίας</w:t>
                  </w:r>
                  <w:proofErr w:type="spellEnd"/>
                  <w:r w:rsidRPr="006E65F1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E65F1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0"/>
                      <w:szCs w:val="20"/>
                    </w:rPr>
                    <w:lastRenderedPageBreak/>
                    <w:t>Εξαμήνου</w:t>
                  </w:r>
                  <w:proofErr w:type="spellEnd"/>
                </w:p>
              </w:tc>
            </w:tr>
            <w:tr w:rsidR="009F6C0B" w:rsidRPr="006E65F1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6E65F1" w:rsidRDefault="009F6C0B" w:rsidP="009316DD">
                  <w:pPr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E65F1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lastRenderedPageBreak/>
                    <w:t>Διαλέξεις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6E65F1" w:rsidRDefault="009F6C0B" w:rsidP="009316DD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26</w:t>
                  </w:r>
                </w:p>
              </w:tc>
            </w:tr>
            <w:tr w:rsidR="009F6C0B" w:rsidRPr="006E65F1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6E65F1" w:rsidRDefault="009F6C0B" w:rsidP="009316DD">
                  <w:pPr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proofErr w:type="spellStart"/>
                  <w:r w:rsidRPr="006E65F1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Διαδραστική</w:t>
                  </w:r>
                  <w:proofErr w:type="spellEnd"/>
                  <w:r w:rsidRPr="006E65F1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 xml:space="preserve"> διδασκαλία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6E65F1" w:rsidRDefault="009F6C0B" w:rsidP="009316DD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13</w:t>
                  </w:r>
                </w:p>
              </w:tc>
            </w:tr>
            <w:tr w:rsidR="009F6C0B" w:rsidRPr="006E65F1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6E65F1" w:rsidRDefault="005F0821" w:rsidP="009316D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Μελέτη και ανάλυση βι</w:t>
                  </w:r>
                  <w:r w:rsidR="009801C0"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β</w:t>
                  </w:r>
                  <w:r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λιογραφίας</w:t>
                  </w:r>
                  <w:r w:rsidR="009F6C0B"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6E65F1" w:rsidRDefault="00EA08CA" w:rsidP="003A74B8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2</w:t>
                  </w:r>
                  <w:r w:rsidR="008C7ACC"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8</w:t>
                  </w:r>
                </w:p>
              </w:tc>
            </w:tr>
            <w:tr w:rsidR="009F6C0B" w:rsidRPr="006E65F1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6E65F1" w:rsidRDefault="005F0821" w:rsidP="009316D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Φροντιστήριο</w:t>
                  </w:r>
                  <w:r w:rsidR="009F6C0B"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6E65F1" w:rsidRDefault="005F0821" w:rsidP="005F0821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1</w:t>
                  </w:r>
                  <w:r w:rsidR="008C7ACC"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3</w:t>
                  </w:r>
                </w:p>
              </w:tc>
            </w:tr>
            <w:tr w:rsidR="009F6C0B" w:rsidRPr="006E65F1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6E65F1" w:rsidRDefault="009801C0" w:rsidP="009801C0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Συγγραφή εργασίας/ προετοιμασία</w:t>
                  </w:r>
                  <w:r w:rsidR="009F6C0B"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 xml:space="preserve"> για τις εξετάσεις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6E65F1" w:rsidRDefault="009801C0" w:rsidP="009316DD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4</w:t>
                  </w:r>
                  <w:r w:rsidR="001306B7"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0</w:t>
                  </w:r>
                </w:p>
              </w:tc>
            </w:tr>
            <w:tr w:rsidR="009F6C0B" w:rsidRPr="006E65F1" w:rsidTr="00D3182B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6C0B" w:rsidRPr="006E65F1" w:rsidRDefault="009F6C0B" w:rsidP="009316DD">
                  <w:pPr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E65F1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Σύνολο</w:t>
                  </w:r>
                  <w:r w:rsidRPr="006E65F1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E65F1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lang w:val="el-GR"/>
                    </w:rPr>
                    <w:t>Μαθήματος</w:t>
                  </w:r>
                  <w:r w:rsidRPr="006E65F1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C0B" w:rsidRPr="006E65F1" w:rsidRDefault="001306B7" w:rsidP="003A74B8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</w:pPr>
                  <w:r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1</w:t>
                  </w:r>
                  <w:r w:rsidR="003A74B8" w:rsidRPr="006E65F1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  <w:lang w:val="el-GR"/>
                    </w:rPr>
                    <w:t>20</w:t>
                  </w:r>
                </w:p>
              </w:tc>
            </w:tr>
          </w:tbl>
          <w:p w:rsidR="00955FA7" w:rsidRPr="006E65F1" w:rsidRDefault="00955FA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0B52DC" w:rsidRPr="009D296D" w:rsidTr="000B52DC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B52DC" w:rsidRPr="006E65F1" w:rsidRDefault="000B52DC" w:rsidP="000B52D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  <w:lastRenderedPageBreak/>
              <w:t xml:space="preserve">ΑΞΙΟΛΟΓΗΣΗ ΦΟΙΤΗΤΩΝ </w:t>
            </w:r>
          </w:p>
          <w:p w:rsidR="000B52DC" w:rsidRPr="006E65F1" w:rsidRDefault="000B52DC" w:rsidP="000B52D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2DC" w:rsidRPr="006E65F1" w:rsidRDefault="000B52DC" w:rsidP="0058008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l-GR"/>
              </w:rPr>
              <w:t>Γλώσσα αξιολόγησης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: </w:t>
            </w:r>
            <w:r w:rsidR="009801C0"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ελληνική ∙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αγγλική για φοιτητές/</w:t>
            </w: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ριες</w:t>
            </w:r>
            <w:proofErr w:type="spellEnd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Erasmus</w:t>
            </w:r>
          </w:p>
          <w:p w:rsidR="000B52DC" w:rsidRPr="006E65F1" w:rsidRDefault="000B52DC" w:rsidP="0058008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</w:p>
          <w:p w:rsidR="000B52DC" w:rsidRPr="006E65F1" w:rsidRDefault="000B52DC" w:rsidP="0058008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l-GR"/>
              </w:rPr>
              <w:t>Μέθοδοι αξιολόγησης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: </w:t>
            </w:r>
          </w:p>
          <w:p w:rsidR="000B52DC" w:rsidRPr="006E65F1" w:rsidRDefault="000B52DC" w:rsidP="0058008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Γραπτή </w:t>
            </w:r>
            <w:r w:rsidR="009801C0"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εργασία (προαιρετικά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)</w:t>
            </w:r>
            <w:r w:rsidR="009801C0"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                                          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20%</w:t>
            </w:r>
          </w:p>
          <w:p w:rsidR="000B52DC" w:rsidRPr="006E65F1" w:rsidRDefault="000B52DC" w:rsidP="0058008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Σύντομες ερευνητικές εργασίες </w:t>
            </w:r>
            <w:r w:rsidR="009801C0"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(προαιρετικά)               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20%</w:t>
            </w:r>
          </w:p>
          <w:p w:rsidR="000B52DC" w:rsidRPr="006E65F1" w:rsidRDefault="000B52DC" w:rsidP="0058008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Γραπτή εξέταση με εργασία </w:t>
            </w:r>
            <w:r w:rsidR="009801C0"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                                               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80%</w:t>
            </w:r>
          </w:p>
          <w:p w:rsidR="000B52DC" w:rsidRPr="006E65F1" w:rsidRDefault="000B52DC" w:rsidP="0058008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Γραπτή εξέταση (ανάπτυξης δοκιμίων</w:t>
            </w:r>
            <w:r w:rsidR="009801C0"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/επίλυσης προβλήματος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)  χωρίς εργασία </w:t>
            </w:r>
            <w:r w:rsidR="009801C0"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                                          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100%</w:t>
            </w:r>
          </w:p>
          <w:p w:rsidR="000B52DC" w:rsidRPr="006E65F1" w:rsidRDefault="000B52DC" w:rsidP="0058008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Ερευνητική εργασία για φοιτητές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ERASMUS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9801C0"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                   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50%</w:t>
            </w:r>
          </w:p>
          <w:p w:rsidR="000B52DC" w:rsidRPr="006E65F1" w:rsidRDefault="000B52DC" w:rsidP="0058008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Δημόσια παρουσίαση για φοιτητές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ERASMUS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="009801C0"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                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50%</w:t>
            </w:r>
          </w:p>
          <w:p w:rsidR="009801C0" w:rsidRPr="006E65F1" w:rsidRDefault="009801C0" w:rsidP="0058008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</w:p>
          <w:p w:rsidR="009801C0" w:rsidRPr="006E65F1" w:rsidRDefault="009801C0" w:rsidP="0058008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l-GR"/>
              </w:rPr>
              <w:t>Κριτήρια αξιολόγησης</w:t>
            </w:r>
          </w:p>
          <w:p w:rsidR="009801C0" w:rsidRPr="006E65F1" w:rsidRDefault="009801C0" w:rsidP="009801C0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Περιεχόμενο (κατανόηση του θέματος, τεκμηρίωση, κριτικός σχολιασμός)</w:t>
            </w:r>
          </w:p>
          <w:p w:rsidR="009801C0" w:rsidRPr="006E65F1" w:rsidRDefault="009801C0" w:rsidP="009801C0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Δομή (ενότητες στη διαπραγμάτευση του θέματος, διασύνδεση των παραγράφων)</w:t>
            </w:r>
          </w:p>
          <w:p w:rsidR="009801C0" w:rsidRPr="006E65F1" w:rsidRDefault="009801C0" w:rsidP="006E65F1">
            <w:pPr>
              <w:pStyle w:val="a5"/>
              <w:numPr>
                <w:ilvl w:val="0"/>
                <w:numId w:val="15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Γλωσσική έκφραση (σαφήνεια, ορθογραφία, σύνταξη, ορολογία, επιμέλεια κειμένου)</w:t>
            </w:r>
          </w:p>
        </w:tc>
      </w:tr>
    </w:tbl>
    <w:p w:rsidR="000B52DC" w:rsidRPr="006E65F1" w:rsidRDefault="000B52DC" w:rsidP="000B52DC">
      <w:pPr>
        <w:widowControl w:val="0"/>
        <w:autoSpaceDE w:val="0"/>
        <w:autoSpaceDN w:val="0"/>
        <w:adjustRightInd w:val="0"/>
        <w:spacing w:before="240" w:after="200" w:line="276" w:lineRule="auto"/>
        <w:ind w:left="357"/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</w:pPr>
    </w:p>
    <w:p w:rsidR="00955FA7" w:rsidRPr="006E65F1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 w:themeColor="text1"/>
          <w:sz w:val="22"/>
          <w:szCs w:val="22"/>
        </w:rPr>
      </w:pPr>
      <w:r w:rsidRPr="006E65F1">
        <w:rPr>
          <w:rFonts w:ascii="Calibri" w:hAnsi="Calibri" w:cs="Arial"/>
          <w:b/>
          <w:color w:val="000000" w:themeColor="text1"/>
          <w:sz w:val="22"/>
          <w:szCs w:val="22"/>
          <w:lang w:val="el-GR"/>
        </w:rPr>
        <w:t>ΣΥΝΙΣΤΩΜΕΝΗ</w:t>
      </w:r>
      <w:r w:rsidRPr="006E65F1">
        <w:rPr>
          <w:rFonts w:ascii="Calibri" w:hAnsi="Calibri" w:cs="Arial"/>
          <w:b/>
          <w:color w:val="000000" w:themeColor="text1"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6E65F1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0B" w:rsidRPr="006E65F1" w:rsidRDefault="009F6C0B" w:rsidP="006E65F1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Abdalah</w:t>
            </w:r>
            <w:proofErr w:type="spellEnd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-</w:t>
            </w: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Pretceille</w:t>
            </w:r>
            <w:proofErr w:type="spellEnd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, M., Porcher, L</w:t>
            </w:r>
            <w:r w:rsidRPr="006E65F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r-FR"/>
              </w:rPr>
              <w:t>.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 xml:space="preserve"> 1996. </w:t>
            </w:r>
            <w:r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FR"/>
              </w:rPr>
              <w:t>Education et communication interculturelle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. Paris: PUF.</w:t>
            </w:r>
          </w:p>
          <w:p w:rsidR="00131AAA" w:rsidRPr="006E65F1" w:rsidRDefault="00131AAA" w:rsidP="006E65F1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</w:pPr>
            <w:r w:rsidRPr="006E65F1">
              <w:rPr>
                <w:rStyle w:val="a4"/>
                <w:rFonts w:asciiTheme="minorHAnsi" w:hAnsiTheme="minorHAnsi" w:cstheme="minorHAnsi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Cohen</w:t>
            </w:r>
            <w:r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>, </w:t>
            </w:r>
            <w:r w:rsidRPr="006E65F1">
              <w:rPr>
                <w:rStyle w:val="a4"/>
                <w:rFonts w:asciiTheme="minorHAnsi" w:hAnsiTheme="minorHAnsi" w:cstheme="minorHAnsi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J</w:t>
            </w:r>
            <w:r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6E65F1">
              <w:rPr>
                <w:rStyle w:val="a4"/>
                <w:rFonts w:asciiTheme="minorHAnsi" w:hAnsiTheme="minorHAnsi" w:cstheme="minorHAnsi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2013</w:t>
            </w:r>
            <w:r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>. </w:t>
            </w:r>
            <w:r w:rsidRPr="006E65F1">
              <w:rPr>
                <w:rStyle w:val="a4"/>
                <w:rFonts w:asciiTheme="minorHAnsi" w:hAnsiTheme="minorHAnsi" w:cstheme="minorHAnsi"/>
                <w:bCs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Creating a positive school climate</w:t>
            </w:r>
            <w:r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 foundation for resilience. In S. Goldstein &amp; R.B. Brooks (</w:t>
            </w: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eds</w:t>
            </w:r>
            <w:proofErr w:type="spellEnd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), </w:t>
            </w:r>
            <w:r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Handbook of resilience in children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(2nd ed., pp. 411–426). Dordrecht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 xml:space="preserve">,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The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Netherlands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 xml:space="preserve">: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Springer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  <w:lang w:val="el-GR"/>
              </w:rPr>
              <w:t>.</w:t>
            </w:r>
          </w:p>
          <w:p w:rsidR="009F6C0B" w:rsidRPr="009D296D" w:rsidRDefault="009F6C0B" w:rsidP="006E65F1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Cummins</w:t>
            </w:r>
            <w:r w:rsidRPr="006E65F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6E65F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J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 2005. </w:t>
            </w:r>
            <w:r w:rsidRPr="006E65F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l-GR"/>
              </w:rPr>
              <w:t xml:space="preserve">Ταυτότητες υπό Διαπραγμάτευση. Εκπαίδευση με Σκοπό την Ενδυνάμωση σε μια Κοινωνία της Ετερότητας. </w:t>
            </w:r>
            <w:r w:rsidRPr="009D296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(</w:t>
            </w:r>
            <w:proofErr w:type="spellStart"/>
            <w:r w:rsidRPr="009D296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Επιμ</w:t>
            </w:r>
            <w:proofErr w:type="spellEnd"/>
            <w:r w:rsidRPr="009D296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.: Ε. </w:t>
            </w:r>
            <w:proofErr w:type="spellStart"/>
            <w:r w:rsidRPr="009D296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Σκούρτου</w:t>
            </w:r>
            <w:proofErr w:type="spellEnd"/>
            <w:r w:rsidRPr="009D296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 </w:t>
            </w:r>
            <w:proofErr w:type="spellStart"/>
            <w:r w:rsidRPr="009D296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Μετάφρ</w:t>
            </w:r>
            <w:proofErr w:type="spellEnd"/>
            <w:r w:rsidRPr="009D296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.: Σ. Αργύρη). Αθήνα: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r-FR"/>
              </w:rPr>
              <w:t>Gutenberg</w:t>
            </w:r>
            <w:r w:rsidRPr="009D296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.</w:t>
            </w:r>
          </w:p>
          <w:p w:rsidR="00131AAA" w:rsidRPr="009D296D" w:rsidRDefault="001306B7" w:rsidP="006E65F1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Γρίβα, Ε., Στάμου, Α. 2014</w:t>
            </w:r>
            <w:r w:rsidR="00131AAA"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 </w:t>
            </w:r>
            <w:r w:rsidR="00131AAA"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  <w:t xml:space="preserve">Ερευνώντας τη διγλωσσία στο σχολικό περιβάλλον. </w:t>
            </w:r>
            <w:r w:rsidR="00131AAA" w:rsidRPr="009D296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  <w:t>Οπτικές εκπαιδευτικών, μαθητών και μεταναστών γονέων.</w:t>
            </w:r>
            <w:r w:rsidR="00131AAA" w:rsidRPr="009D296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Θεσσαλονίκη: Κυριακίδης.</w:t>
            </w:r>
          </w:p>
          <w:p w:rsidR="004D1F0B" w:rsidRPr="006E65F1" w:rsidRDefault="004D1F0B" w:rsidP="006E65F1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Γκόβαρης</w:t>
            </w:r>
            <w:proofErr w:type="spellEnd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, Χ. 2011. </w:t>
            </w:r>
            <w:r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  <w:t xml:space="preserve">Εισαγωγή στη Διαπολιτισμική Εκπαίδευση.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Αθήνα: </w:t>
            </w: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Διάδραση</w:t>
            </w:r>
            <w:proofErr w:type="spellEnd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.</w:t>
            </w:r>
          </w:p>
          <w:p w:rsidR="00131AAA" w:rsidRPr="009D296D" w:rsidRDefault="00131AAA" w:rsidP="006E65F1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Hayward, M. 2017. Teaching as a primary therapeutic intervention for learners from refugee backgrounds. </w:t>
            </w:r>
            <w:r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Intercultural</w:t>
            </w:r>
            <w:r w:rsidRPr="009D296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  <w:t xml:space="preserve"> </w:t>
            </w:r>
            <w:r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Education</w:t>
            </w:r>
            <w:r w:rsidRPr="009D296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  <w:t xml:space="preserve"> 28(2)</w:t>
            </w:r>
            <w:r w:rsidRPr="009D296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, 165-181.</w:t>
            </w:r>
          </w:p>
          <w:p w:rsidR="009F6C0B" w:rsidRPr="006E65F1" w:rsidRDefault="009F6C0B" w:rsidP="006E65F1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Μητακίδου</w:t>
            </w:r>
            <w:proofErr w:type="spellEnd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, Σ. (</w:t>
            </w: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επιμ</w:t>
            </w:r>
            <w:proofErr w:type="spellEnd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.). 2005. </w:t>
            </w:r>
            <w:r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  <w:t>Η Διδασκαλία της Γλώσσας. Εκπαίδευση γλωσσικών μειονοτήτων.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Θεσσαλονίκη: Επίκεντρο.</w:t>
            </w:r>
          </w:p>
          <w:p w:rsidR="00015A58" w:rsidRPr="006E65F1" w:rsidRDefault="00015A58" w:rsidP="006E65F1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Μπάρος</w:t>
            </w:r>
            <w:proofErr w:type="spellEnd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Β, Στεργίου Λ, </w:t>
            </w: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Χατζηδήμου</w:t>
            </w:r>
            <w:proofErr w:type="spellEnd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 Κ. (</w:t>
            </w: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επιμ</w:t>
            </w:r>
            <w:proofErr w:type="spellEnd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). 2014. </w:t>
            </w:r>
            <w:r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  <w:t xml:space="preserve">Ζητήματα διαπολιτισμικής επικοινωνίας και εκπαίδευσης.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Αθήνα: </w:t>
            </w: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Μετάδραση</w:t>
            </w:r>
            <w:proofErr w:type="spellEnd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.</w:t>
            </w:r>
          </w:p>
          <w:p w:rsidR="009F6C0B" w:rsidRPr="009D296D" w:rsidRDefault="009F6C0B" w:rsidP="006E65F1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E65F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l-GR"/>
              </w:rPr>
              <w:t>Νικολάου, Γ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 2011. </w:t>
            </w:r>
            <w:hyperlink r:id="rId6" w:history="1">
              <w:r w:rsidR="004D1F0B" w:rsidRPr="006E65F1">
                <w:rPr>
                  <w:rStyle w:val="-"/>
                  <w:rFonts w:asciiTheme="minorHAnsi" w:hAnsiTheme="minorHAnsi" w:cstheme="minorHAnsi"/>
                  <w:i/>
                  <w:color w:val="000000" w:themeColor="text1"/>
                  <w:sz w:val="20"/>
                  <w:szCs w:val="20"/>
                  <w:u w:val="none"/>
                  <w:lang w:val="el-GR"/>
                </w:rPr>
                <w:t>Ένταξη και εκπαίδευση των αλλοδαπών μαθητών στο δημοτικό σχολείο</w:t>
              </w:r>
            </w:hyperlink>
            <w:r w:rsidR="008A6FE8"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  <w:t xml:space="preserve">.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Αθήνα</w:t>
            </w:r>
            <w:r w:rsidRPr="009D29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>Πεδίο</w:t>
            </w:r>
            <w:r w:rsidRPr="009D29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9F6C0B" w:rsidRPr="006E65F1" w:rsidRDefault="009F6C0B" w:rsidP="006E65F1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O'Malley, J.M., &amp; A. </w:t>
            </w: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Chamot</w:t>
            </w:r>
            <w:proofErr w:type="spellEnd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1990. </w:t>
            </w:r>
            <w:r w:rsidRPr="006E65F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Learning Strategies in Second Language Acquisition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Cambridge: Cambridge University Press.</w:t>
            </w:r>
          </w:p>
          <w:p w:rsidR="008E1CAA" w:rsidRPr="006E65F1" w:rsidRDefault="008E1CAA" w:rsidP="006E65F1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E65F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lastRenderedPageBreak/>
              <w:t>Rutter</w:t>
            </w:r>
            <w:proofErr w:type="spellEnd"/>
            <w:r w:rsidRPr="006E65F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 J. 2006</w:t>
            </w:r>
            <w:r w:rsidR="00131AAA" w:rsidRPr="006E65F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="00131AAA"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31AAA" w:rsidRPr="006E65F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Refugee Children in the UK</w:t>
            </w:r>
            <w:r w:rsidR="00131AAA"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London: Open University Press </w:t>
            </w:r>
          </w:p>
          <w:p w:rsidR="009F6C0B" w:rsidRPr="009D296D" w:rsidRDefault="009F6C0B" w:rsidP="006E65F1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  <w:t>Σκούρτου</w:t>
            </w:r>
            <w:proofErr w:type="spellEnd"/>
            <w:r w:rsidRPr="009D296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 xml:space="preserve">,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  <w:t>Ε</w:t>
            </w:r>
            <w:r w:rsidRPr="009D296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 xml:space="preserve">. 2011. </w:t>
            </w:r>
            <w:r w:rsidRPr="006E65F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el-GR" w:eastAsia="el-GR"/>
              </w:rPr>
              <w:t>Η Διγλωσσία στο Σχολείο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  <w:t xml:space="preserve">. </w:t>
            </w:r>
            <w:r w:rsidRPr="009D296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  <w:t xml:space="preserve">Αθήνα: 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Gutenberg</w:t>
            </w:r>
            <w:r w:rsidRPr="009D296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  <w:t>.</w:t>
            </w:r>
          </w:p>
          <w:p w:rsidR="009F6C0B" w:rsidRPr="006E65F1" w:rsidRDefault="009F6C0B" w:rsidP="006E65F1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</w:pP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  <w:t>Τσοκαλίδου</w:t>
            </w:r>
            <w:proofErr w:type="spellEnd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  <w:t xml:space="preserve">, Ρ. 2012. </w:t>
            </w:r>
            <w:r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 w:eastAsia="el-GR"/>
              </w:rPr>
              <w:t>Χώρος για δύο. Θέματα διγλωσσίας και Εκπαίδευσης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 w:eastAsia="el-GR"/>
              </w:rPr>
              <w:t>. Θεσσαλονίκη: Ζυγός.</w:t>
            </w:r>
          </w:p>
          <w:p w:rsidR="009F6C0B" w:rsidRPr="006E65F1" w:rsidRDefault="009F6C0B" w:rsidP="006E65F1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E65F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Vandenbroeck</w:t>
            </w:r>
            <w:proofErr w:type="spellEnd"/>
            <w:r w:rsidRPr="006E65F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l-GR"/>
              </w:rPr>
              <w:t xml:space="preserve">, </w:t>
            </w:r>
            <w:r w:rsidRPr="006E65F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</w:t>
            </w:r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l-GR"/>
              </w:rPr>
              <w:t xml:space="preserve">. 2004. </w:t>
            </w:r>
            <w:r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  <w:t xml:space="preserve">Με τη ματιά του </w:t>
            </w:r>
            <w:proofErr w:type="spellStart"/>
            <w:r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  <w:t>Γέτι</w:t>
            </w:r>
            <w:proofErr w:type="spellEnd"/>
            <w:r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el-GR"/>
              </w:rPr>
              <w:t xml:space="preserve">. Η καλλιέργεια του σεβασμού του «άλλου» στην εκπαίδευση. </w:t>
            </w: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Αθήνα</w:t>
            </w:r>
            <w:proofErr w:type="spellEnd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Νήσος</w:t>
            </w:r>
            <w:proofErr w:type="spellEnd"/>
            <w:r w:rsidRPr="006E65F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9F6C0B" w:rsidRPr="006E65F1" w:rsidRDefault="009F6C0B" w:rsidP="006E65F1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:rsidR="00955FA7" w:rsidRPr="006E65F1" w:rsidRDefault="00955FA7" w:rsidP="006E65F1">
            <w:pPr>
              <w:spacing w:after="80"/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-</w:t>
            </w:r>
            <w:r w:rsidRPr="006E65F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l-GR"/>
              </w:rPr>
              <w:t>Συναφή</w:t>
            </w:r>
            <w:r w:rsidRPr="006E65F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E65F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l-GR"/>
              </w:rPr>
              <w:t>επιστημονικά</w:t>
            </w:r>
            <w:r w:rsidRPr="006E65F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E65F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  <w:lang w:val="el-GR"/>
              </w:rPr>
              <w:t>περιοδικά</w:t>
            </w:r>
            <w:r w:rsidRPr="006E65F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</w:p>
          <w:p w:rsidR="008E1CAA" w:rsidRPr="006E65F1" w:rsidRDefault="008E1CAA" w:rsidP="006E65F1">
            <w:pPr>
              <w:spacing w:after="80"/>
              <w:ind w:left="360" w:hanging="360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6E65F1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International Journal of Inclusive Education</w:t>
            </w:r>
          </w:p>
          <w:p w:rsidR="00955FA7" w:rsidRPr="006E65F1" w:rsidRDefault="001306B7" w:rsidP="006E65F1">
            <w:pPr>
              <w:spacing w:after="80"/>
              <w:ind w:left="360" w:hanging="36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6E65F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Intercultural Education</w:t>
            </w:r>
          </w:p>
        </w:tc>
      </w:tr>
    </w:tbl>
    <w:p w:rsidR="00BE7D61" w:rsidRPr="006E65F1" w:rsidRDefault="00BE7D61" w:rsidP="00EA08CA">
      <w:pPr>
        <w:rPr>
          <w:color w:val="000000" w:themeColor="text1"/>
        </w:rPr>
      </w:pPr>
    </w:p>
    <w:sectPr w:rsidR="00BE7D61" w:rsidRPr="006E65F1" w:rsidSect="003760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7"/>
    <w:multiLevelType w:val="hybridMultilevel"/>
    <w:tmpl w:val="0F429D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93070"/>
    <w:multiLevelType w:val="hybridMultilevel"/>
    <w:tmpl w:val="EA7883A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54006"/>
    <w:multiLevelType w:val="hybridMultilevel"/>
    <w:tmpl w:val="B89EFE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C17BD"/>
    <w:multiLevelType w:val="hybridMultilevel"/>
    <w:tmpl w:val="DBDAD4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11391"/>
    <w:multiLevelType w:val="hybridMultilevel"/>
    <w:tmpl w:val="A9CECA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F0337"/>
    <w:multiLevelType w:val="hybridMultilevel"/>
    <w:tmpl w:val="0DEA1DCA"/>
    <w:lvl w:ilvl="0" w:tplc="18E8C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04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E4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C3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4D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07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C8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28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B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84571D"/>
    <w:multiLevelType w:val="hybridMultilevel"/>
    <w:tmpl w:val="7D4A19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C5BE7"/>
    <w:multiLevelType w:val="hybridMultilevel"/>
    <w:tmpl w:val="D28E1138"/>
    <w:lvl w:ilvl="0" w:tplc="040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D24CC"/>
    <w:multiLevelType w:val="hybridMultilevel"/>
    <w:tmpl w:val="D76E3C2A"/>
    <w:lvl w:ilvl="0" w:tplc="040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A592DC9"/>
    <w:multiLevelType w:val="hybridMultilevel"/>
    <w:tmpl w:val="82CAF2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C1BA2"/>
    <w:multiLevelType w:val="hybridMultilevel"/>
    <w:tmpl w:val="744CFDDA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B3F14"/>
    <w:multiLevelType w:val="hybridMultilevel"/>
    <w:tmpl w:val="65B0702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55FA7"/>
    <w:rsid w:val="00015A58"/>
    <w:rsid w:val="00061290"/>
    <w:rsid w:val="00095D77"/>
    <w:rsid w:val="000A159A"/>
    <w:rsid w:val="000B52DC"/>
    <w:rsid w:val="000B59FF"/>
    <w:rsid w:val="000E60CA"/>
    <w:rsid w:val="000F2E5E"/>
    <w:rsid w:val="001306B7"/>
    <w:rsid w:val="00131AAA"/>
    <w:rsid w:val="001649E2"/>
    <w:rsid w:val="00186F05"/>
    <w:rsid w:val="002000F8"/>
    <w:rsid w:val="00211FD4"/>
    <w:rsid w:val="002447EA"/>
    <w:rsid w:val="00276257"/>
    <w:rsid w:val="00290760"/>
    <w:rsid w:val="002B525E"/>
    <w:rsid w:val="002E4DE6"/>
    <w:rsid w:val="00331E7F"/>
    <w:rsid w:val="00350AAD"/>
    <w:rsid w:val="0037603D"/>
    <w:rsid w:val="00380264"/>
    <w:rsid w:val="003A74B8"/>
    <w:rsid w:val="003F4FC8"/>
    <w:rsid w:val="003F6C90"/>
    <w:rsid w:val="00400C7D"/>
    <w:rsid w:val="00420A7D"/>
    <w:rsid w:val="00476462"/>
    <w:rsid w:val="004D1F0B"/>
    <w:rsid w:val="004E5153"/>
    <w:rsid w:val="004F51F1"/>
    <w:rsid w:val="005214CF"/>
    <w:rsid w:val="005525E3"/>
    <w:rsid w:val="00590B6C"/>
    <w:rsid w:val="005C742E"/>
    <w:rsid w:val="005F0821"/>
    <w:rsid w:val="005F5DD2"/>
    <w:rsid w:val="00630924"/>
    <w:rsid w:val="00663E4B"/>
    <w:rsid w:val="006737B6"/>
    <w:rsid w:val="006A08B5"/>
    <w:rsid w:val="006C3C72"/>
    <w:rsid w:val="006E3E11"/>
    <w:rsid w:val="006E65F1"/>
    <w:rsid w:val="00700B15"/>
    <w:rsid w:val="00746DA4"/>
    <w:rsid w:val="007514E5"/>
    <w:rsid w:val="00757303"/>
    <w:rsid w:val="007B6842"/>
    <w:rsid w:val="007C5B87"/>
    <w:rsid w:val="00806709"/>
    <w:rsid w:val="008A6FE8"/>
    <w:rsid w:val="008C7ACC"/>
    <w:rsid w:val="008E1CAA"/>
    <w:rsid w:val="00955FA7"/>
    <w:rsid w:val="0096413D"/>
    <w:rsid w:val="00974A93"/>
    <w:rsid w:val="009801C0"/>
    <w:rsid w:val="009A609A"/>
    <w:rsid w:val="009D296D"/>
    <w:rsid w:val="009E0BCD"/>
    <w:rsid w:val="009F6C0B"/>
    <w:rsid w:val="00A07A67"/>
    <w:rsid w:val="00A32EE2"/>
    <w:rsid w:val="00A57DCE"/>
    <w:rsid w:val="00A7130F"/>
    <w:rsid w:val="00A73859"/>
    <w:rsid w:val="00A95B3F"/>
    <w:rsid w:val="00AE3AEC"/>
    <w:rsid w:val="00B150F0"/>
    <w:rsid w:val="00B70532"/>
    <w:rsid w:val="00B8786F"/>
    <w:rsid w:val="00BB1AC9"/>
    <w:rsid w:val="00BE7D61"/>
    <w:rsid w:val="00C12C26"/>
    <w:rsid w:val="00C40A0A"/>
    <w:rsid w:val="00CB23CE"/>
    <w:rsid w:val="00CB3946"/>
    <w:rsid w:val="00CB4BEB"/>
    <w:rsid w:val="00D0383F"/>
    <w:rsid w:val="00D21AA6"/>
    <w:rsid w:val="00D94B7E"/>
    <w:rsid w:val="00D95477"/>
    <w:rsid w:val="00DD3FEF"/>
    <w:rsid w:val="00DE753B"/>
    <w:rsid w:val="00E12B97"/>
    <w:rsid w:val="00E25904"/>
    <w:rsid w:val="00E30C13"/>
    <w:rsid w:val="00E56684"/>
    <w:rsid w:val="00E65969"/>
    <w:rsid w:val="00EA08CA"/>
    <w:rsid w:val="00EC1D37"/>
    <w:rsid w:val="00FA0DDB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E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basedOn w:val="a0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customStyle="1" w:styleId="style4">
    <w:name w:val="style4"/>
    <w:basedOn w:val="a0"/>
    <w:rsid w:val="009F6C0B"/>
  </w:style>
  <w:style w:type="character" w:styleId="a4">
    <w:name w:val="Emphasis"/>
    <w:uiPriority w:val="20"/>
    <w:qFormat/>
    <w:rsid w:val="00131AAA"/>
    <w:rPr>
      <w:i/>
      <w:iCs/>
    </w:rPr>
  </w:style>
  <w:style w:type="character" w:customStyle="1" w:styleId="st">
    <w:name w:val="st"/>
    <w:basedOn w:val="a0"/>
    <w:rsid w:val="00131AAA"/>
  </w:style>
  <w:style w:type="character" w:styleId="-">
    <w:name w:val="Hyperlink"/>
    <w:basedOn w:val="a0"/>
    <w:rsid w:val="001306B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0821"/>
    <w:pPr>
      <w:ind w:left="720"/>
      <w:contextualSpacing/>
    </w:pPr>
  </w:style>
  <w:style w:type="paragraph" w:styleId="a6">
    <w:name w:val="Balloon Text"/>
    <w:basedOn w:val="a"/>
    <w:link w:val="Char0"/>
    <w:rsid w:val="008C7AC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8C7A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2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net.gr/book/174892/&#925;&#953;&#954;&#959;&#955;&#940;&#959;&#965;,_&#915;&#953;&#974;&#961;&#947;&#959;&#962;/&#904;&#957;&#964;&#945;&#958;&#951;_&#954;&#945;&#953;_&#949;&#954;&#960;&#945;&#943;&#948;&#949;&#965;&#963;&#951;_&#964;&#969;&#957;_&#945;&#955;&#955;&#959;&#948;&#945;&#960;&#974;&#957;_&#956;&#945;&#952;&#951;&#964;&#974;&#957;_&#963;&#964;&#959;_&#948;&#951;&#956;&#959;&#964;&#953;&#954;&#972;_&#963;&#967;&#959;&#955;&#949;&#943;&#959;" TargetMode="External"/><Relationship Id="rId5" Type="http://schemas.openxmlformats.org/officeDocument/2006/relationships/hyperlink" Target="http://ecourse.uoi.gr/enrol/index.php?id=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1197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2019-07-01T10:06:00Z</cp:lastPrinted>
  <dcterms:created xsi:type="dcterms:W3CDTF">2020-01-27T17:30:00Z</dcterms:created>
  <dcterms:modified xsi:type="dcterms:W3CDTF">2020-01-28T10:15:00Z</dcterms:modified>
</cp:coreProperties>
</file>