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A7" w:rsidRPr="00D24C9A" w:rsidRDefault="00955FA7" w:rsidP="00955FA7">
      <w:pPr>
        <w:spacing w:before="120" w:line="276" w:lineRule="auto"/>
        <w:jc w:val="center"/>
        <w:rPr>
          <w:rFonts w:ascii="Calibri" w:hAnsi="Calibri" w:cs="Arial"/>
          <w:b/>
        </w:rPr>
      </w:pPr>
      <w:r w:rsidRPr="00D24C9A">
        <w:rPr>
          <w:rFonts w:ascii="Calibri" w:hAnsi="Calibri" w:cs="Arial"/>
          <w:b/>
          <w:lang w:val="el-GR"/>
        </w:rPr>
        <w:t>ΠΕΡΙΓΡΑΜΜΑ ΜΑΘΗΜΑΤΟΣ</w:t>
      </w:r>
    </w:p>
    <w:p w:rsidR="008326ED" w:rsidRPr="00D24C9A" w:rsidRDefault="008326ED" w:rsidP="00955FA7">
      <w:pPr>
        <w:spacing w:before="120" w:line="276" w:lineRule="auto"/>
        <w:jc w:val="center"/>
        <w:rPr>
          <w:rFonts w:ascii="Calibri" w:hAnsi="Calibri" w:cs="Arial"/>
        </w:rPr>
      </w:pPr>
    </w:p>
    <w:p w:rsidR="00955FA7" w:rsidRPr="00D24C9A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2"/>
          <w:szCs w:val="22"/>
        </w:rPr>
      </w:pPr>
      <w:r w:rsidRPr="00D24C9A">
        <w:rPr>
          <w:rFonts w:ascii="Calibri" w:hAnsi="Calibri" w:cs="Arial"/>
          <w:b/>
          <w:sz w:val="22"/>
          <w:szCs w:val="22"/>
        </w:rPr>
        <w:t>ΓΕΝΙΚΑ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5"/>
        <w:gridCol w:w="1135"/>
        <w:gridCol w:w="1297"/>
        <w:gridCol w:w="1208"/>
        <w:gridCol w:w="351"/>
        <w:gridCol w:w="1240"/>
      </w:tblGrid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205E51" w:rsidP="00205E51">
            <w:pPr>
              <w:rPr>
                <w:rFonts w:ascii="Calibri" w:hAnsi="Calibri" w:cs="Arial"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</w:rPr>
              <w:t>ΕΠΙΣΤΗΜ</w:t>
            </w: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Ω</w:t>
            </w:r>
            <w:r w:rsidRPr="00D24C9A">
              <w:rPr>
                <w:rFonts w:ascii="Calibri" w:hAnsi="Calibri" w:cs="Arial"/>
                <w:sz w:val="20"/>
                <w:szCs w:val="20"/>
              </w:rPr>
              <w:t>Ν ΑΓΩΓ</w:t>
            </w: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Η</w:t>
            </w:r>
            <w:r w:rsidRPr="00D24C9A">
              <w:rPr>
                <w:rFonts w:ascii="Calibri" w:hAnsi="Calibri" w:cs="Arial"/>
                <w:sz w:val="20"/>
                <w:szCs w:val="20"/>
              </w:rPr>
              <w:t>Σ</w:t>
            </w:r>
          </w:p>
        </w:tc>
      </w:tr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ΤΜΗΜΑ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205E51">
            <w:pPr>
              <w:rPr>
                <w:rFonts w:ascii="Calibri" w:hAnsi="Calibri" w:cs="Arial"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ΠΑΙΔΑΓΩΓΙΚΟ ΝΗΠΙΑΓΩΓΩΝ</w:t>
            </w:r>
          </w:p>
        </w:tc>
      </w:tr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8326ED">
            <w:pPr>
              <w:rPr>
                <w:rFonts w:ascii="Calibri" w:hAnsi="Calibri" w:cs="Arial"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</w:rPr>
              <w:t>6o</w:t>
            </w:r>
          </w:p>
        </w:tc>
      </w:tr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0E2493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 xml:space="preserve">ΠΝΕ </w:t>
            </w:r>
            <w:r w:rsidR="008F0C14" w:rsidRPr="00D24C9A">
              <w:rPr>
                <w:rFonts w:ascii="Calibri" w:hAnsi="Calibri" w:cs="Arial"/>
                <w:sz w:val="20"/>
                <w:szCs w:val="20"/>
                <w:lang w:val="el-GR"/>
              </w:rPr>
              <w:t>221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8F0C14" w:rsidP="008326ED">
            <w:pPr>
              <w:rPr>
                <w:rFonts w:ascii="Calibri" w:hAnsi="Calibri" w:cs="Arial"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Ε΄</w:t>
            </w:r>
            <w:r w:rsidR="00C730E0" w:rsidRPr="00D24C9A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955FA7" w:rsidRPr="00D24C9A" w:rsidTr="00955FA7">
        <w:trPr>
          <w:trHeight w:val="37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A7" w:rsidRPr="00D24C9A" w:rsidRDefault="00205E51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ΓΝΩΣΤΙΚΗ ΨΥΧΟΛΟΓΙΑ ΙΙ</w:t>
            </w:r>
          </w:p>
        </w:tc>
      </w:tr>
      <w:tr w:rsidR="00955FA7" w:rsidRPr="00D24C9A" w:rsidTr="003170DD">
        <w:trPr>
          <w:trHeight w:val="1428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Pr="00D24C9A" w:rsidRDefault="00955FA7" w:rsidP="008326E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Pr="00D24C9A" w:rsidRDefault="00955FA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ΕΒΔΟΜΑΔΙΑΙΕΣ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  <w:t>ΩΡΕΣ Δ</w:t>
            </w:r>
            <w:r w:rsidRPr="00D24C9A">
              <w:rPr>
                <w:rFonts w:ascii="Calibri" w:hAnsi="Calibri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Pr="00D24C9A" w:rsidRDefault="00955FA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205E51" w:rsidRPr="00D24C9A" w:rsidTr="00C124B0">
        <w:trPr>
          <w:trHeight w:val="194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51" w:rsidRPr="00D24C9A" w:rsidRDefault="00205E51">
            <w:pPr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Διαλέξεις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51" w:rsidRPr="00D24C9A" w:rsidRDefault="00205E51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51" w:rsidRPr="00D24C9A" w:rsidRDefault="00205E51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4</w:t>
            </w:r>
          </w:p>
        </w:tc>
      </w:tr>
      <w:tr w:rsidR="00205E51" w:rsidRPr="00D24C9A" w:rsidTr="00C124B0">
        <w:trPr>
          <w:trHeight w:val="194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51" w:rsidRPr="00D24C9A" w:rsidRDefault="00205E51" w:rsidP="00205E51">
            <w:pPr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 xml:space="preserve">Εργαστηριακές Ασκήσεις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51" w:rsidRPr="00D24C9A" w:rsidRDefault="00205E51" w:rsidP="003170DD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51" w:rsidRPr="00D24C9A" w:rsidRDefault="00205E51">
            <w:pPr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955FA7" w:rsidRPr="00D24C9A" w:rsidTr="00955FA7">
        <w:trPr>
          <w:trHeight w:val="59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ΤΥΠΟΣ ΜΑΘΗΜΑΤΟΣ</w:t>
            </w:r>
            <w:r w:rsidRPr="00D24C9A">
              <w:rPr>
                <w:rFonts w:ascii="Calibri" w:hAnsi="Calibri" w:cs="Arial"/>
                <w:i/>
                <w:sz w:val="16"/>
                <w:szCs w:val="16"/>
                <w:lang w:val="el-GR"/>
              </w:rPr>
              <w:t xml:space="preserve"> </w:t>
            </w:r>
          </w:p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93" w:rsidRPr="00D24C9A" w:rsidRDefault="00205E51" w:rsidP="008326ED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ΕΙΔΙΚΕΥΣΗΣ ΓΕΝΙΚΩΝ ΓΝΩΣΕΩΝ</w:t>
            </w:r>
          </w:p>
        </w:tc>
      </w:tr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205E51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ΟΧΙ</w:t>
            </w:r>
          </w:p>
        </w:tc>
      </w:tr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Γ</w:t>
            </w:r>
            <w:r w:rsidRPr="00D24C9A">
              <w:rPr>
                <w:rFonts w:ascii="Calibri" w:hAnsi="Calibri" w:cs="Arial"/>
                <w:b/>
                <w:sz w:val="20"/>
                <w:szCs w:val="20"/>
              </w:rPr>
              <w:t>ΛΩΣΣΑ ΔΙΔΑΣΚΑΛΙΑΣ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 w:rsidRPr="00D24C9A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205E51">
            <w:pPr>
              <w:rPr>
                <w:rFonts w:ascii="Calibri" w:hAnsi="Calibri" w:cs="Arial"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>ΕΛΛΗΝΙΚΗ</w:t>
            </w:r>
          </w:p>
        </w:tc>
      </w:tr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n-GB"/>
              </w:rPr>
              <w:t>ERASMUS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205E51" w:rsidP="00205E51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sz w:val="20"/>
                <w:szCs w:val="20"/>
                <w:lang w:val="el-GR"/>
              </w:rPr>
              <w:t xml:space="preserve">ΝΑΙ </w:t>
            </w:r>
          </w:p>
        </w:tc>
      </w:tr>
      <w:tr w:rsidR="00955FA7" w:rsidRPr="00D24C9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n-GB"/>
              </w:rPr>
              <w:t>URL)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D24C9A" w:rsidRDefault="00955FA7">
            <w:pPr>
              <w:spacing w:after="200" w:line="276" w:lineRule="auto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:rsidR="00955FA7" w:rsidRPr="00D24C9A" w:rsidRDefault="00955FA7" w:rsidP="00955FA7"/>
    <w:p w:rsidR="00955FA7" w:rsidRPr="00D24C9A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2"/>
          <w:szCs w:val="22"/>
        </w:rPr>
      </w:pPr>
      <w:r w:rsidRPr="00D24C9A">
        <w:rPr>
          <w:rFonts w:ascii="Calibri" w:hAnsi="Calibri" w:cs="Arial"/>
          <w:b/>
          <w:sz w:val="22"/>
          <w:szCs w:val="22"/>
          <w:lang w:val="el-GR"/>
        </w:rPr>
        <w:t>ΜΑΘΗΣΙΑΚΑ ΑΠΟΤΕΛΕΣΜΑΤΑ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RPr="00D24C9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5FA7" w:rsidRPr="00D24C9A" w:rsidRDefault="00955FA7" w:rsidP="00205E51">
            <w:pPr>
              <w:spacing w:after="80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Μαθησιακά Αποτελέσματα</w:t>
            </w:r>
          </w:p>
        </w:tc>
      </w:tr>
      <w:tr w:rsidR="00955FA7" w:rsidRPr="000F781F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5D" w:rsidRPr="00D24C9A" w:rsidRDefault="00E70A5D" w:rsidP="00205E51">
            <w:pPr>
              <w:widowControl w:val="0"/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Το μάθημα αυτό καλύπτει τις βασικές γνωστικές διεργασίες της 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>σκέψης και ειδικότερα, τη σύνδεσή της με τη νοημοσύνη, τη δ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ιαλογιστική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>, την αναπαράσταση και το σχηματισμό εννοιών, τη λ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ύση προβλημάτων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>, τη δ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ημιουργικότητα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, καθώς και την 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καλλιέργεια της σκέψης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>.</w:t>
            </w:r>
          </w:p>
          <w:p w:rsidR="00E70A5D" w:rsidRPr="00D24C9A" w:rsidRDefault="00E70A5D" w:rsidP="00205E51">
            <w:pPr>
              <w:widowControl w:val="0"/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Οι φοιτητές μετά την επιτυχή ολοκλήρωση του συγκεκριμένου μαθήματος 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>αναμένεται να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 έχουν αποκτήσει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>: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  <w:p w:rsidR="00E70A5D" w:rsidRPr="00D24C9A" w:rsidRDefault="00E70A5D" w:rsidP="00205E5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βασικές γνώσεις σε θέματα της Ψυχολογίας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 της Σκέψης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 και της σύνδεσης τ</w:t>
            </w:r>
            <w:r w:rsidR="001853CB" w:rsidRPr="00D24C9A">
              <w:rPr>
                <w:rFonts w:ascii="Calibri" w:hAnsi="Calibri"/>
                <w:sz w:val="20"/>
                <w:szCs w:val="20"/>
                <w:lang w:val="el-GR"/>
              </w:rPr>
              <w:t>ης</w:t>
            </w: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 με τους υπόλοιπους κλάδους Ψυχολογίας,</w:t>
            </w:r>
          </w:p>
          <w:p w:rsidR="00E70A5D" w:rsidRPr="00D24C9A" w:rsidRDefault="00E70A5D" w:rsidP="00205E5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βασικές γνώσεις κατανόησης και κριτικής θεώρησης εμπειρικών και θεωρητικών δεδομένων σχετικών με τις παραπάνω γνωστικές διεργασίες</w:t>
            </w:r>
            <w:r w:rsidR="007E6DC0" w:rsidRPr="00D24C9A">
              <w:rPr>
                <w:rFonts w:ascii="Calibri" w:hAnsi="Calibri"/>
                <w:sz w:val="20"/>
                <w:szCs w:val="20"/>
                <w:lang w:val="el-GR"/>
              </w:rPr>
              <w:t>,</w:t>
            </w:r>
          </w:p>
          <w:p w:rsidR="00E70A5D" w:rsidRPr="00D24C9A" w:rsidRDefault="00E70A5D" w:rsidP="00205E51">
            <w:pPr>
              <w:pStyle w:val="Default"/>
              <w:numPr>
                <w:ilvl w:val="0"/>
                <w:numId w:val="16"/>
              </w:numPr>
              <w:spacing w:after="80"/>
              <w:jc w:val="both"/>
              <w:rPr>
                <w:color w:val="auto"/>
                <w:sz w:val="20"/>
                <w:szCs w:val="20"/>
              </w:rPr>
            </w:pPr>
            <w:r w:rsidRPr="00D24C9A">
              <w:rPr>
                <w:color w:val="auto"/>
                <w:sz w:val="20"/>
                <w:szCs w:val="20"/>
              </w:rPr>
              <w:t xml:space="preserve">την ικανότητα συνεργασίας με τους συμφοιτητές τους για να παρουσιάσουν ένα σχέδιο έρευνας από τις παραπάνω θεματικές </w:t>
            </w:r>
            <w:r w:rsidR="007E6DC0" w:rsidRPr="00D24C9A">
              <w:rPr>
                <w:color w:val="auto"/>
                <w:sz w:val="20"/>
                <w:szCs w:val="20"/>
              </w:rPr>
              <w:t>ενότητες,</w:t>
            </w:r>
          </w:p>
          <w:p w:rsidR="00E70A5D" w:rsidRPr="00D24C9A" w:rsidRDefault="00E70A5D" w:rsidP="00205E51">
            <w:pPr>
              <w:pStyle w:val="Default"/>
              <w:numPr>
                <w:ilvl w:val="0"/>
                <w:numId w:val="16"/>
              </w:numPr>
              <w:spacing w:after="80"/>
              <w:jc w:val="both"/>
              <w:rPr>
                <w:color w:val="auto"/>
                <w:sz w:val="20"/>
                <w:szCs w:val="20"/>
              </w:rPr>
            </w:pPr>
            <w:r w:rsidRPr="00D24C9A">
              <w:rPr>
                <w:color w:val="auto"/>
                <w:sz w:val="20"/>
                <w:szCs w:val="20"/>
              </w:rPr>
              <w:t xml:space="preserve">την ικανότητα να πραγματοποιούν διεθνή βιβλιογραφική ανασκόπηση σε επιστημονικά περιοδικά και θέματα Γνωστικής Ψυχολογίας κάνοντας χρήση των βιβλιοθηκών του </w:t>
            </w:r>
            <w:r w:rsidR="007E6DC0" w:rsidRPr="00D24C9A">
              <w:rPr>
                <w:color w:val="auto"/>
                <w:sz w:val="20"/>
                <w:szCs w:val="20"/>
              </w:rPr>
              <w:t>Π</w:t>
            </w:r>
            <w:r w:rsidRPr="00D24C9A">
              <w:rPr>
                <w:color w:val="auto"/>
                <w:sz w:val="20"/>
                <w:szCs w:val="20"/>
              </w:rPr>
              <w:t>ανεπιστημίου και πηγών του διαδικτύου</w:t>
            </w:r>
            <w:r w:rsidR="007E6DC0" w:rsidRPr="00D24C9A">
              <w:rPr>
                <w:color w:val="auto"/>
                <w:sz w:val="20"/>
                <w:szCs w:val="20"/>
              </w:rPr>
              <w:t>,</w:t>
            </w:r>
          </w:p>
          <w:p w:rsidR="001853CB" w:rsidRPr="00D24C9A" w:rsidRDefault="00E70A5D" w:rsidP="00205E51">
            <w:pPr>
              <w:pStyle w:val="Default"/>
              <w:widowControl w:val="0"/>
              <w:numPr>
                <w:ilvl w:val="0"/>
                <w:numId w:val="16"/>
              </w:numPr>
              <w:spacing w:after="80"/>
              <w:jc w:val="both"/>
              <w:rPr>
                <w:color w:val="auto"/>
              </w:rPr>
            </w:pPr>
            <w:r w:rsidRPr="00D24C9A">
              <w:rPr>
                <w:color w:val="auto"/>
                <w:sz w:val="20"/>
                <w:szCs w:val="20"/>
              </w:rPr>
              <w:t>δεξιότητες επίλυσης προβλημάτων και βασικές ερευνητικές δεξιότητες</w:t>
            </w:r>
            <w:r w:rsidR="001853CB" w:rsidRPr="00D24C9A">
              <w:rPr>
                <w:color w:val="auto"/>
                <w:sz w:val="20"/>
                <w:szCs w:val="20"/>
              </w:rPr>
              <w:t>.</w:t>
            </w:r>
          </w:p>
        </w:tc>
      </w:tr>
      <w:tr w:rsidR="00955FA7" w:rsidRPr="00D24C9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5FA7" w:rsidRPr="00D24C9A" w:rsidRDefault="00955FA7" w:rsidP="00205E51">
            <w:pPr>
              <w:spacing w:after="8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Γενικές Ικανότητες</w:t>
            </w:r>
          </w:p>
        </w:tc>
      </w:tr>
      <w:tr w:rsidR="00955FA7" w:rsidRPr="000F781F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52" w:rsidRPr="00D24C9A" w:rsidRDefault="007C1152" w:rsidP="00205E5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D24C9A">
              <w:rPr>
                <w:sz w:val="20"/>
                <w:szCs w:val="20"/>
              </w:rPr>
              <w:t xml:space="preserve">Αναζήτηση, ανάλυση και σύνθεση δεδομένων και πληροφοριών, με τη χρήση και των απαραίτητων τεχνολογιών </w:t>
            </w:r>
          </w:p>
          <w:p w:rsidR="00BC3EE4" w:rsidRPr="00D24C9A" w:rsidRDefault="00BC3EE4" w:rsidP="00205E5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D24C9A">
              <w:rPr>
                <w:sz w:val="20"/>
                <w:szCs w:val="20"/>
              </w:rPr>
              <w:lastRenderedPageBreak/>
              <w:t xml:space="preserve">Προσαρμογή σε νέες καταστάσεις </w:t>
            </w:r>
          </w:p>
          <w:p w:rsidR="00BC3EE4" w:rsidRPr="00D24C9A" w:rsidRDefault="00BC3EE4" w:rsidP="00205E5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D24C9A">
              <w:rPr>
                <w:sz w:val="20"/>
                <w:szCs w:val="20"/>
              </w:rPr>
              <w:t>Ομαδική εργασία</w:t>
            </w:r>
          </w:p>
          <w:p w:rsidR="00E70A5D" w:rsidRPr="00D24C9A" w:rsidRDefault="00BA46EE" w:rsidP="00205E5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rFonts w:cs="Arial"/>
                <w:i/>
                <w:sz w:val="20"/>
                <w:szCs w:val="20"/>
              </w:rPr>
            </w:pPr>
            <w:r w:rsidRPr="00D24C9A">
              <w:rPr>
                <w:sz w:val="20"/>
                <w:szCs w:val="20"/>
              </w:rPr>
              <w:t>Αυτόνομη εργασία</w:t>
            </w:r>
          </w:p>
          <w:p w:rsidR="00E70A5D" w:rsidRPr="00D24C9A" w:rsidRDefault="00BC3EE4" w:rsidP="00205E5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rFonts w:cs="Arial"/>
                <w:i/>
                <w:sz w:val="20"/>
                <w:szCs w:val="20"/>
              </w:rPr>
            </w:pPr>
            <w:r w:rsidRPr="00D24C9A">
              <w:rPr>
                <w:sz w:val="20"/>
                <w:szCs w:val="20"/>
              </w:rPr>
              <w:t xml:space="preserve">Σεβασμός στη διαφορετικότητα και στην </w:t>
            </w:r>
            <w:proofErr w:type="spellStart"/>
            <w:r w:rsidRPr="00D24C9A">
              <w:rPr>
                <w:sz w:val="20"/>
                <w:szCs w:val="20"/>
              </w:rPr>
              <w:t>πολυπολιτισμικότητα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</w:p>
          <w:p w:rsidR="008326ED" w:rsidRPr="00D24C9A" w:rsidRDefault="00BC3EE4" w:rsidP="00205E5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rFonts w:cs="Arial"/>
                <w:i/>
                <w:sz w:val="16"/>
                <w:szCs w:val="16"/>
              </w:rPr>
            </w:pPr>
            <w:r w:rsidRPr="00D24C9A">
              <w:rPr>
                <w:sz w:val="20"/>
                <w:szCs w:val="20"/>
              </w:rPr>
              <w:t>Προαγωγή της ελεύθερης, δημιουργικής και επαγωγικής σκέψης</w:t>
            </w:r>
          </w:p>
        </w:tc>
      </w:tr>
    </w:tbl>
    <w:p w:rsidR="008326ED" w:rsidRPr="00D24C9A" w:rsidRDefault="008326ED" w:rsidP="008326ED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="Calibri" w:hAnsi="Calibri" w:cs="Arial"/>
          <w:b/>
          <w:sz w:val="22"/>
          <w:szCs w:val="22"/>
          <w:lang w:val="el-GR"/>
        </w:rPr>
      </w:pPr>
    </w:p>
    <w:p w:rsidR="00955FA7" w:rsidRPr="00D24C9A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2"/>
          <w:szCs w:val="22"/>
          <w:lang w:val="el-GR"/>
        </w:rPr>
      </w:pPr>
      <w:r w:rsidRPr="00D24C9A">
        <w:rPr>
          <w:rFonts w:ascii="Calibri" w:hAnsi="Calibri" w:cs="Arial"/>
          <w:b/>
          <w:sz w:val="22"/>
          <w:szCs w:val="22"/>
          <w:lang w:val="el-GR"/>
        </w:rPr>
        <w:t>ΠΕΡΙΕΧΟΜΕΝΟ ΜΑΘΗΜΑΤΟΣ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RPr="00D24C9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5" w:rsidRPr="00D24C9A" w:rsidRDefault="008B7F75" w:rsidP="00205E51">
            <w:pPr>
              <w:numPr>
                <w:ilvl w:val="0"/>
                <w:numId w:val="11"/>
              </w:numPr>
              <w:spacing w:after="80"/>
              <w:jc w:val="both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Εισαγωγικό μέρος: Ορισμός της σκέψης. Σκέψη και νοημοσύνη. Η μελέτη της σκέψης.</w:t>
            </w:r>
          </w:p>
          <w:p w:rsidR="008B7F75" w:rsidRPr="00D24C9A" w:rsidRDefault="008B7F75" w:rsidP="00205E51">
            <w:pPr>
              <w:numPr>
                <w:ilvl w:val="0"/>
                <w:numId w:val="11"/>
              </w:numPr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Διαλογιστική: Ορισμός. Ενορατική μάθηση. Γνωστικό ύφος. Επαγωγή. Παραγωγή.</w:t>
            </w:r>
          </w:p>
          <w:p w:rsidR="008B7F75" w:rsidRPr="00D24C9A" w:rsidRDefault="008B7F75" w:rsidP="00205E51">
            <w:pPr>
              <w:numPr>
                <w:ilvl w:val="0"/>
                <w:numId w:val="11"/>
              </w:numPr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Αναπαράσταση: Σχηματισμός εννοιών. Σχήματα. Σενάρια. Γνωστικοί χάρτες. Η ανάπτυξη της αναπαράστασης. Τρόποι αναπαράστασης. Αναπαράσταση και στρατηγικές επανάληψης. Η ανάπτυξη των σχημάτων.</w:t>
            </w:r>
          </w:p>
          <w:p w:rsidR="008B7F75" w:rsidRPr="00D24C9A" w:rsidRDefault="008B7F75" w:rsidP="00205E51">
            <w:pPr>
              <w:numPr>
                <w:ilvl w:val="0"/>
                <w:numId w:val="11"/>
              </w:numPr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Λύση προβλημάτων: Ορισμός. Η μάθηση μέσω της δοκιμής και του λάθους. Τάση για μάθηση. Πλάγια σκέψη. Καταιγισμός ιδεών. Θεωρίες για τη λύση προβλημάτων. Λύση προβλημάτων και τεχνητή νοημοσύνη: Ο ρόλος των στρατηγικών. Αναλογική σκέψη.</w:t>
            </w:r>
          </w:p>
          <w:p w:rsidR="008B7F75" w:rsidRPr="00D24C9A" w:rsidRDefault="008B7F75" w:rsidP="00205E51">
            <w:pPr>
              <w:numPr>
                <w:ilvl w:val="0"/>
                <w:numId w:val="11"/>
              </w:numPr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Δημιουργικότητα: Ορισμός. Μέθοδοι μελέτης. Η δημιουργική σκέψη. Το δημιουργικό άτομο. Καλλιέργεια της δημιουργικότητας. Η καλλιέργεια της δημιουργικότητας στο σχολείο. Η ανάπτυξη της δημιουργικής σκέψης. </w:t>
            </w:r>
          </w:p>
          <w:p w:rsidR="00441930" w:rsidRPr="00D24C9A" w:rsidRDefault="008B7F75" w:rsidP="00205E51">
            <w:pPr>
              <w:numPr>
                <w:ilvl w:val="0"/>
                <w:numId w:val="11"/>
              </w:numPr>
              <w:spacing w:after="80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Η καλλιέργεια της σκέψης: Μεθοδολογία της έρευνας γνωστικής παρέμβασης. Παραδείγματα προγραμμάτων γνωστικής παρέμβασης. Καλλιέργεια της σκέψης μέσω της ανάγνωσης και της γραφής. Γνωστικές και </w:t>
            </w:r>
            <w:proofErr w:type="spellStart"/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μεταγνωστικές</w:t>
            </w:r>
            <w:proofErr w:type="spellEnd"/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 στρατηγικές μάθησης.  </w:t>
            </w:r>
          </w:p>
        </w:tc>
      </w:tr>
    </w:tbl>
    <w:p w:rsidR="008326ED" w:rsidRPr="00D24C9A" w:rsidRDefault="008326ED" w:rsidP="008326ED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="Calibri" w:hAnsi="Calibri" w:cs="Arial"/>
          <w:b/>
          <w:sz w:val="22"/>
          <w:szCs w:val="22"/>
          <w:lang w:val="el-GR"/>
        </w:rPr>
      </w:pPr>
    </w:p>
    <w:p w:rsidR="00955FA7" w:rsidRPr="00D24C9A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sz w:val="22"/>
          <w:szCs w:val="22"/>
          <w:lang w:val="el-GR"/>
        </w:rPr>
      </w:pPr>
      <w:r w:rsidRPr="00D24C9A">
        <w:rPr>
          <w:rFonts w:ascii="Calibri" w:hAnsi="Calibri" w:cs="Arial"/>
          <w:b/>
          <w:sz w:val="22"/>
          <w:szCs w:val="22"/>
          <w:lang w:val="el-GR"/>
        </w:rPr>
        <w:t>ΔΙΔΑΚΤΙΚΕΣ και ΜΑΘΗΣΙΑΚΕΣ ΜΕΘΟΔΟΙ - ΑΞΙΟΛΟΓΗΣΗ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6"/>
        <w:gridCol w:w="5166"/>
      </w:tblGrid>
      <w:tr w:rsidR="00955FA7" w:rsidRPr="00D24C9A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 w:rsidP="00205E51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ΤΡΟΠΟΣ ΠΑΡΑΔΟΣΗΣ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DF" w:rsidRPr="00D24C9A" w:rsidRDefault="00A35754" w:rsidP="00205E51">
            <w:pPr>
              <w:numPr>
                <w:ilvl w:val="0"/>
                <w:numId w:val="9"/>
              </w:numPr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/>
                <w:sz w:val="20"/>
                <w:szCs w:val="20"/>
                <w:lang w:val="el-GR"/>
              </w:rPr>
              <w:t>Πρόσωπο με πρόσωπο</w:t>
            </w:r>
            <w:r w:rsidR="00F372DF" w:rsidRPr="00D24C9A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  <w:p w:rsidR="00A35754" w:rsidRPr="00D24C9A" w:rsidRDefault="00A35754" w:rsidP="00205E51">
            <w:pPr>
              <w:spacing w:after="80"/>
              <w:ind w:left="720"/>
              <w:jc w:val="both"/>
              <w:rPr>
                <w:rFonts w:ascii="Calibri" w:hAnsi="Calibri"/>
                <w:iCs/>
                <w:sz w:val="20"/>
                <w:szCs w:val="20"/>
                <w:lang w:val="el-GR"/>
              </w:rPr>
            </w:pPr>
          </w:p>
        </w:tc>
      </w:tr>
      <w:tr w:rsidR="00955FA7" w:rsidRPr="000F781F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 w:rsidP="00205E51">
            <w:pPr>
              <w:spacing w:after="80"/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5" w:rsidRPr="00D24C9A" w:rsidRDefault="008B7F75" w:rsidP="00205E51">
            <w:pPr>
              <w:numPr>
                <w:ilvl w:val="0"/>
                <w:numId w:val="12"/>
              </w:numPr>
              <w:spacing w:after="80"/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Χρήση Τ.Π.Ε. στη Διδασκαλία, στην Εργαστηριακή Εκπαίδευση, στην Επικοινωνία με τους φοιτητές:</w:t>
            </w:r>
          </w:p>
          <w:p w:rsidR="008B7F75" w:rsidRPr="00D24C9A" w:rsidRDefault="008B7F75" w:rsidP="00205E51">
            <w:pPr>
              <w:numPr>
                <w:ilvl w:val="0"/>
                <w:numId w:val="12"/>
              </w:numPr>
              <w:spacing w:after="8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D24C9A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Χρήση </w:t>
            </w:r>
            <w:proofErr w:type="spellStart"/>
            <w:r w:rsidRPr="00D24C9A">
              <w:rPr>
                <w:rFonts w:asciiTheme="minorHAnsi" w:hAnsiTheme="minorHAnsi"/>
                <w:sz w:val="20"/>
                <w:szCs w:val="20"/>
                <w:lang w:val="el-GR"/>
              </w:rPr>
              <w:t>power</w:t>
            </w:r>
            <w:proofErr w:type="spellEnd"/>
            <w:r w:rsidRPr="00D24C9A">
              <w:rPr>
                <w:rFonts w:asciiTheme="minorHAnsi" w:hAnsiTheme="minorHAnsi"/>
                <w:sz w:val="20"/>
                <w:szCs w:val="20"/>
                <w:lang w:val="el-GR"/>
              </w:rPr>
              <w:t>-</w:t>
            </w:r>
            <w:proofErr w:type="spellStart"/>
            <w:r w:rsidRPr="00D24C9A">
              <w:rPr>
                <w:rFonts w:asciiTheme="minorHAnsi" w:hAnsiTheme="minorHAnsi"/>
                <w:sz w:val="20"/>
                <w:szCs w:val="20"/>
                <w:lang w:val="el-GR"/>
              </w:rPr>
              <w:t>point</w:t>
            </w:r>
            <w:proofErr w:type="spellEnd"/>
            <w:r w:rsidRPr="00D24C9A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για τη διδασκαλία.</w:t>
            </w:r>
          </w:p>
          <w:p w:rsidR="000934A8" w:rsidRPr="00D24C9A" w:rsidRDefault="008B7F75" w:rsidP="00205E51">
            <w:pPr>
              <w:pStyle w:val="a4"/>
              <w:numPr>
                <w:ilvl w:val="0"/>
                <w:numId w:val="12"/>
              </w:numPr>
              <w:spacing w:after="8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24C9A">
              <w:rPr>
                <w:rFonts w:asciiTheme="minorHAnsi" w:hAnsiTheme="minorHAnsi"/>
                <w:sz w:val="20"/>
                <w:szCs w:val="20"/>
              </w:rPr>
              <w:t>Χρήση του e-</w:t>
            </w:r>
            <w:proofErr w:type="spellStart"/>
            <w:r w:rsidRPr="00D24C9A">
              <w:rPr>
                <w:rFonts w:asciiTheme="minorHAnsi" w:hAnsiTheme="minorHAnsi"/>
                <w:sz w:val="20"/>
                <w:szCs w:val="20"/>
              </w:rPr>
              <w:t>course</w:t>
            </w:r>
            <w:proofErr w:type="spellEnd"/>
            <w:r w:rsidRPr="00D24C9A">
              <w:rPr>
                <w:rFonts w:asciiTheme="minorHAnsi" w:hAnsiTheme="minorHAnsi"/>
                <w:sz w:val="20"/>
                <w:szCs w:val="20"/>
              </w:rPr>
              <w:t xml:space="preserve"> για την παροχή εκπαιδευτικού υλικού στους φοιτητές.</w:t>
            </w:r>
          </w:p>
          <w:p w:rsidR="008B7F75" w:rsidRPr="00D24C9A" w:rsidRDefault="008B7F75" w:rsidP="00205E51">
            <w:pPr>
              <w:pStyle w:val="a4"/>
              <w:spacing w:after="8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55FA7" w:rsidRPr="00D24C9A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D24C9A" w:rsidRDefault="00955FA7" w:rsidP="00205E51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:rsidR="00955FA7" w:rsidRPr="00D24C9A" w:rsidRDefault="00955FA7" w:rsidP="00205E51">
            <w:pPr>
              <w:spacing w:after="80"/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467"/>
              <w:gridCol w:w="2468"/>
            </w:tblGrid>
            <w:tr w:rsidR="00955FA7" w:rsidRPr="00D24C9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955FA7" w:rsidRPr="00D24C9A" w:rsidRDefault="00955FA7" w:rsidP="00205E51">
                  <w:pPr>
                    <w:spacing w:after="80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D24C9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Δραστηριότητα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955FA7" w:rsidRPr="00D24C9A" w:rsidRDefault="00955FA7" w:rsidP="00205E51">
                  <w:pPr>
                    <w:spacing w:after="80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D24C9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Φόρτος</w:t>
                  </w:r>
                  <w:proofErr w:type="spellEnd"/>
                  <w:r w:rsidRPr="00D24C9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4C9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Εργασίας</w:t>
                  </w:r>
                  <w:proofErr w:type="spellEnd"/>
                  <w:r w:rsidRPr="00D24C9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4C9A"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Εξαμήνου</w:t>
                  </w:r>
                  <w:proofErr w:type="spellEnd"/>
                </w:p>
              </w:tc>
            </w:tr>
            <w:tr w:rsidR="00955FA7" w:rsidRPr="00D24C9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976B8" w:rsidP="00205E51">
                  <w:pPr>
                    <w:spacing w:after="80"/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>Σύνολο ωρών δια</w:t>
                  </w:r>
                  <w:r w:rsidR="00A17C46"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>λέξεων</w:t>
                  </w: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 xml:space="preserve"> μαθήματος κατά εξάμηνο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35754" w:rsidP="00205E51">
                  <w:pPr>
                    <w:spacing w:after="80"/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26</w:t>
                  </w:r>
                </w:p>
              </w:tc>
            </w:tr>
            <w:tr w:rsidR="00955FA7" w:rsidRPr="00D24C9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976B8" w:rsidP="00205E51">
                  <w:pPr>
                    <w:spacing w:after="80"/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 xml:space="preserve">Αριθμός ωρών εργαστηριακών ασκήσεων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35754" w:rsidP="00205E51">
                  <w:pPr>
                    <w:spacing w:after="80"/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13</w:t>
                  </w:r>
                </w:p>
              </w:tc>
            </w:tr>
            <w:tr w:rsidR="00955FA7" w:rsidRPr="00D24C9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976B8" w:rsidP="00205E51">
                  <w:pPr>
                    <w:spacing w:after="80"/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>Αριθμός ωρών μελέτης για την προετοιμασία των εργαστηριακών ασκήσεων</w:t>
                  </w:r>
                  <w:r w:rsidRPr="00D24C9A">
                    <w:rPr>
                      <w:rFonts w:asciiTheme="minorHAnsi" w:eastAsia="Arial Unicode MS" w:hAnsiTheme="minorHAnsi" w:cs="Arial"/>
                      <w:sz w:val="20"/>
                      <w:szCs w:val="20"/>
                      <w:lang w:val="el-GR"/>
                    </w:rPr>
                    <w:t xml:space="preserve">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05458F" w:rsidP="00205E51">
                  <w:pPr>
                    <w:spacing w:after="80"/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20</w:t>
                  </w:r>
                </w:p>
              </w:tc>
            </w:tr>
            <w:tr w:rsidR="00955FA7" w:rsidRPr="00D24C9A" w:rsidTr="004E34CF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976B8" w:rsidP="00205E51">
                  <w:pPr>
                    <w:spacing w:after="80"/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Theme="minorHAnsi" w:hAnsiTheme="minorHAnsi" w:cs="Arial"/>
                      <w:sz w:val="20"/>
                      <w:szCs w:val="20"/>
                      <w:lang w:val="el-GR"/>
                    </w:rPr>
                    <w:t>Αριθμός ωρών</w:t>
                  </w:r>
                  <w:r w:rsidR="00172D72" w:rsidRPr="00D24C9A">
                    <w:rPr>
                      <w:rFonts w:asciiTheme="minorHAnsi" w:hAnsiTheme="minorHAnsi" w:cs="Arial"/>
                      <w:sz w:val="20"/>
                      <w:szCs w:val="20"/>
                      <w:lang w:val="el-GR"/>
                    </w:rPr>
                    <w:t xml:space="preserve"> μη καθοδηγούμενης μελέτης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D24C9A" w:rsidRDefault="0005458F" w:rsidP="00205E51">
                  <w:pPr>
                    <w:spacing w:after="80"/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10</w:t>
                  </w:r>
                </w:p>
              </w:tc>
            </w:tr>
            <w:tr w:rsidR="00955FA7" w:rsidRPr="00D24C9A" w:rsidTr="004E34CF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976B8" w:rsidP="00205E51">
                  <w:pPr>
                    <w:spacing w:after="80"/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 xml:space="preserve">Αριθμός ωρών προετοιμασίας του </w:t>
                  </w: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lastRenderedPageBreak/>
                    <w:t>φοιτητή για τις εξετάσεις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D24C9A" w:rsidRDefault="0005458F" w:rsidP="00205E51">
                  <w:pPr>
                    <w:spacing w:after="80"/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lastRenderedPageBreak/>
                    <w:t>28</w:t>
                  </w:r>
                </w:p>
              </w:tc>
            </w:tr>
            <w:tr w:rsidR="00955FA7" w:rsidRPr="00D24C9A" w:rsidTr="004E34CF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A976B8" w:rsidP="00205E51">
                  <w:pPr>
                    <w:spacing w:after="80"/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lastRenderedPageBreak/>
                    <w:t>Εξετάσεις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D24C9A" w:rsidRDefault="00A976B8" w:rsidP="00205E51">
                  <w:pPr>
                    <w:spacing w:after="80"/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3</w:t>
                  </w:r>
                </w:p>
              </w:tc>
            </w:tr>
            <w:tr w:rsidR="00955FA7" w:rsidRPr="00D24C9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D24C9A" w:rsidRDefault="00955FA7" w:rsidP="00205E51">
                  <w:pPr>
                    <w:spacing w:after="80"/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>Σύνολο Μαθήματος</w:t>
                  </w:r>
                  <w:r w:rsidRPr="00D24C9A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D24C9A" w:rsidRDefault="00E17E35" w:rsidP="00205E51">
                  <w:pPr>
                    <w:spacing w:after="80"/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  <w:lang w:val="el-GR"/>
                    </w:rPr>
                  </w:pPr>
                  <w:r w:rsidRPr="00D24C9A">
                    <w:rPr>
                      <w:rFonts w:ascii="Calibri" w:hAnsi="Calibri" w:cs="Arial"/>
                      <w:b/>
                      <w:sz w:val="20"/>
                      <w:szCs w:val="20"/>
                      <w:lang w:val="el-GR"/>
                    </w:rPr>
                    <w:t>1</w:t>
                  </w:r>
                  <w:r w:rsidR="0005458F" w:rsidRPr="00D24C9A">
                    <w:rPr>
                      <w:rFonts w:ascii="Calibri" w:hAnsi="Calibri" w:cs="Arial"/>
                      <w:b/>
                      <w:sz w:val="20"/>
                      <w:szCs w:val="20"/>
                      <w:lang w:val="el-GR"/>
                    </w:rPr>
                    <w:t>00</w:t>
                  </w:r>
                </w:p>
              </w:tc>
            </w:tr>
          </w:tbl>
          <w:p w:rsidR="00955FA7" w:rsidRPr="00D24C9A" w:rsidRDefault="00955FA7" w:rsidP="00205E51">
            <w:pPr>
              <w:spacing w:after="80"/>
              <w:rPr>
                <w:rFonts w:ascii="Tahoma" w:hAnsi="Tahoma" w:cs="Tahoma"/>
              </w:rPr>
            </w:pPr>
          </w:p>
        </w:tc>
      </w:tr>
      <w:tr w:rsidR="00955FA7" w:rsidRPr="000F781F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B8" w:rsidRPr="00D24C9A" w:rsidRDefault="00A976B8" w:rsidP="00205E51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  <w:p w:rsidR="00955FA7" w:rsidRPr="00D24C9A" w:rsidRDefault="00955FA7" w:rsidP="00205E51">
            <w:pPr>
              <w:spacing w:after="80"/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D24C9A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ΑΞΙΟΛΟΓΗΣΗ ΦΟΙΤΗΤΩΝ </w:t>
            </w:r>
          </w:p>
          <w:p w:rsidR="00955FA7" w:rsidRPr="00D24C9A" w:rsidRDefault="00955FA7" w:rsidP="00205E51">
            <w:pPr>
              <w:spacing w:after="80"/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5" w:rsidRPr="00D24C9A" w:rsidRDefault="008B7F75" w:rsidP="00205E51">
            <w:pPr>
              <w:spacing w:after="80"/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D24C9A">
              <w:rPr>
                <w:rFonts w:asciiTheme="minorHAnsi" w:hAnsiTheme="minorHAnsi" w:cs="Arial"/>
                <w:i/>
                <w:sz w:val="20"/>
                <w:szCs w:val="20"/>
                <w:lang w:val="el-GR"/>
              </w:rPr>
              <w:t>Γλώσσα Αξιολόγησης</w:t>
            </w:r>
            <w:r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: Ελληνική</w:t>
            </w:r>
          </w:p>
          <w:p w:rsidR="008B7F75" w:rsidRPr="00D24C9A" w:rsidRDefault="008B7F75" w:rsidP="00205E51">
            <w:pPr>
              <w:spacing w:after="80"/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D24C9A">
              <w:rPr>
                <w:rFonts w:asciiTheme="minorHAnsi" w:hAnsiTheme="minorHAnsi" w:cs="Arial"/>
                <w:i/>
                <w:sz w:val="20"/>
                <w:szCs w:val="20"/>
                <w:lang w:val="el-GR"/>
              </w:rPr>
              <w:t>Μέθοδοι Αξιολόγησης</w:t>
            </w:r>
            <w:r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:</w:t>
            </w:r>
          </w:p>
          <w:p w:rsidR="008B7F75" w:rsidRPr="00D24C9A" w:rsidRDefault="008B7F75" w:rsidP="00205E51">
            <w:pPr>
              <w:numPr>
                <w:ilvl w:val="0"/>
                <w:numId w:val="17"/>
              </w:numPr>
              <w:spacing w:after="80"/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Γραπτή εξέταση (70% της συνολικής βαθμολογίας) που περιλαμβάνει: Δοκιμασία Πολλαπλής Επιλογής &amp; Ερωτήσεις Σύντομης Απάντησης  </w:t>
            </w:r>
          </w:p>
          <w:p w:rsidR="00955FA7" w:rsidRPr="00D24C9A" w:rsidRDefault="008B7F75" w:rsidP="00205E51">
            <w:pPr>
              <w:numPr>
                <w:ilvl w:val="0"/>
                <w:numId w:val="18"/>
              </w:numPr>
              <w:spacing w:after="80"/>
              <w:rPr>
                <w:rFonts w:ascii="Calibri" w:hAnsi="Calibri" w:cs="Arial"/>
                <w:lang w:val="el-GR"/>
              </w:rPr>
            </w:pPr>
            <w:r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Δύο (2) Εργαστηριακές Ομαδικές Εργασίες</w:t>
            </w:r>
            <w:r w:rsidR="001853CB"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:</w:t>
            </w:r>
            <w:r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 </w:t>
            </w:r>
            <w:r w:rsidR="001853CB"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Προφορική παρουσίαση άρθρου (</w:t>
            </w:r>
            <w:r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20% της συνολικής βαθμολογίας)</w:t>
            </w:r>
            <w:r w:rsidR="001853CB"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 και Συλλογή ερευνητικών δεδομένων (10</w:t>
            </w:r>
            <w:r w:rsidR="00017A61"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%</w:t>
            </w:r>
            <w:r w:rsidR="001853CB"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 </w:t>
            </w:r>
            <w:r w:rsidR="00017A61" w:rsidRPr="00D24C9A">
              <w:rPr>
                <w:rFonts w:asciiTheme="minorHAnsi" w:hAnsiTheme="minorHAnsi" w:cs="Arial"/>
                <w:sz w:val="20"/>
                <w:szCs w:val="20"/>
                <w:lang w:val="el-GR"/>
              </w:rPr>
              <w:t>της συνολικής βαθμολογίας)</w:t>
            </w:r>
          </w:p>
        </w:tc>
      </w:tr>
    </w:tbl>
    <w:p w:rsidR="00A976B8" w:rsidRPr="00D24C9A" w:rsidRDefault="00A976B8" w:rsidP="00A976B8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ascii="Calibri" w:hAnsi="Calibri" w:cs="Arial"/>
          <w:b/>
          <w:sz w:val="22"/>
          <w:szCs w:val="22"/>
          <w:lang w:val="el-GR"/>
        </w:rPr>
      </w:pPr>
    </w:p>
    <w:p w:rsidR="00955FA7" w:rsidRPr="00D24C9A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Arial"/>
          <w:b/>
          <w:sz w:val="22"/>
          <w:szCs w:val="22"/>
        </w:rPr>
      </w:pPr>
      <w:r w:rsidRPr="00D24C9A">
        <w:rPr>
          <w:rFonts w:ascii="Calibri" w:hAnsi="Calibri" w:cs="Arial"/>
          <w:b/>
          <w:sz w:val="22"/>
          <w:szCs w:val="22"/>
          <w:lang w:val="el-GR"/>
        </w:rPr>
        <w:t>ΣΥΝΙΣΤΩΜΕΝΗ</w:t>
      </w:r>
      <w:r w:rsidRPr="00D24C9A">
        <w:rPr>
          <w:rFonts w:ascii="Calibri" w:hAnsi="Calibri" w:cs="Arial"/>
          <w:b/>
          <w:sz w:val="22"/>
          <w:szCs w:val="22"/>
        </w:rPr>
        <w:t>-ΒΙΒΛΙΟΓΡΑΦΙΑ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RPr="00D24C9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6D" w:rsidRPr="00D24C9A" w:rsidRDefault="00EC4E6D" w:rsidP="00205E51">
            <w:pPr>
              <w:spacing w:after="80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l-GR"/>
              </w:rPr>
            </w:pPr>
            <w:r w:rsidRPr="00D24C9A">
              <w:rPr>
                <w:rFonts w:asciiTheme="minorHAnsi" w:hAnsiTheme="minorHAnsi" w:cs="Arial"/>
                <w:b/>
                <w:i/>
                <w:sz w:val="20"/>
                <w:szCs w:val="20"/>
                <w:lang w:val="el-GR"/>
              </w:rPr>
              <w:t>- Προτεινόμενη Βιβλιογραφία :</w:t>
            </w:r>
          </w:p>
          <w:p w:rsidR="000934A8" w:rsidRPr="00D24C9A" w:rsidRDefault="000934A8" w:rsidP="00205E51">
            <w:pPr>
              <w:pStyle w:val="a4"/>
              <w:spacing w:after="80" w:line="240" w:lineRule="auto"/>
              <w:ind w:left="-5"/>
              <w:jc w:val="both"/>
              <w:rPr>
                <w:sz w:val="20"/>
                <w:szCs w:val="20"/>
              </w:rPr>
            </w:pPr>
            <w:proofErr w:type="spellStart"/>
            <w:r w:rsidRPr="00D24C9A">
              <w:rPr>
                <w:sz w:val="20"/>
                <w:szCs w:val="20"/>
              </w:rPr>
              <w:t>Κωσταρίδου</w:t>
            </w:r>
            <w:proofErr w:type="spellEnd"/>
            <w:r w:rsidRPr="00D24C9A">
              <w:rPr>
                <w:sz w:val="20"/>
                <w:szCs w:val="20"/>
              </w:rPr>
              <w:t>-Ευκλείδη, Α. (2011). Γνωστική Ψυχολογία: Από την αναπαράσταση της γνώσης στο θυμικό και στη δράση. Αθήνα: Πεδίο.</w:t>
            </w:r>
          </w:p>
          <w:p w:rsidR="00017A61" w:rsidRPr="00D24C9A" w:rsidRDefault="00017A61" w:rsidP="00205E51">
            <w:pPr>
              <w:pStyle w:val="a4"/>
              <w:spacing w:after="80" w:line="240" w:lineRule="auto"/>
              <w:ind w:left="-5"/>
              <w:jc w:val="both"/>
              <w:rPr>
                <w:sz w:val="20"/>
                <w:szCs w:val="20"/>
              </w:rPr>
            </w:pPr>
            <w:proofErr w:type="spellStart"/>
            <w:r w:rsidRPr="00D24C9A">
              <w:rPr>
                <w:sz w:val="20"/>
                <w:szCs w:val="20"/>
              </w:rPr>
              <w:t>Κωσταρίδου</w:t>
            </w:r>
            <w:proofErr w:type="spellEnd"/>
            <w:r w:rsidRPr="00D24C9A">
              <w:rPr>
                <w:sz w:val="20"/>
                <w:szCs w:val="20"/>
              </w:rPr>
              <w:t>-Ευκλείδη, Α. (2011). Ψυχολογία της Σκέψης. Αθήνα: Πεδίο.</w:t>
            </w:r>
          </w:p>
          <w:p w:rsidR="000934A8" w:rsidRPr="00D24C9A" w:rsidRDefault="000934A8" w:rsidP="00205E51">
            <w:pPr>
              <w:pStyle w:val="a4"/>
              <w:spacing w:after="80" w:line="240" w:lineRule="auto"/>
              <w:ind w:left="-5"/>
              <w:jc w:val="both"/>
              <w:rPr>
                <w:sz w:val="20"/>
                <w:szCs w:val="20"/>
              </w:rPr>
            </w:pPr>
            <w:r w:rsidRPr="00D24C9A">
              <w:rPr>
                <w:sz w:val="20"/>
                <w:szCs w:val="20"/>
              </w:rPr>
              <w:t xml:space="preserve">Σαμαρτζή, Σ.( 1995). Εισαγωγή στις γνωστικές λειτουργίες. Αθήνα: </w:t>
            </w:r>
            <w:proofErr w:type="spellStart"/>
            <w:r w:rsidRPr="00D24C9A">
              <w:rPr>
                <w:sz w:val="20"/>
                <w:szCs w:val="20"/>
              </w:rPr>
              <w:t>Παπαζήσης</w:t>
            </w:r>
            <w:proofErr w:type="spellEnd"/>
            <w:r w:rsidRPr="00D24C9A">
              <w:rPr>
                <w:sz w:val="20"/>
                <w:szCs w:val="20"/>
              </w:rPr>
              <w:t>.</w:t>
            </w:r>
          </w:p>
          <w:p w:rsidR="000934A8" w:rsidRPr="000F781F" w:rsidRDefault="000934A8" w:rsidP="00205E51">
            <w:pPr>
              <w:pStyle w:val="a4"/>
              <w:spacing w:after="80" w:line="240" w:lineRule="auto"/>
              <w:ind w:left="-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24C9A">
              <w:rPr>
                <w:sz w:val="20"/>
                <w:szCs w:val="20"/>
              </w:rPr>
              <w:t>Eysenck</w:t>
            </w:r>
            <w:proofErr w:type="spellEnd"/>
            <w:r w:rsidRPr="00D24C9A">
              <w:rPr>
                <w:sz w:val="20"/>
                <w:szCs w:val="20"/>
              </w:rPr>
              <w:t>, M.</w:t>
            </w:r>
            <w:r w:rsidR="00553E0D" w:rsidRPr="00D24C9A">
              <w:rPr>
                <w:sz w:val="20"/>
                <w:szCs w:val="20"/>
              </w:rPr>
              <w:t xml:space="preserve"> </w:t>
            </w:r>
            <w:r w:rsidRPr="00D24C9A">
              <w:rPr>
                <w:sz w:val="20"/>
                <w:szCs w:val="20"/>
              </w:rPr>
              <w:t>W. (2010). Βασικές Αρχές Γνωστικής Ψυχολογίας. (</w:t>
            </w:r>
            <w:proofErr w:type="spellStart"/>
            <w:r w:rsidRPr="00D24C9A">
              <w:rPr>
                <w:sz w:val="20"/>
                <w:szCs w:val="20"/>
              </w:rPr>
              <w:t>Επιμ</w:t>
            </w:r>
            <w:proofErr w:type="spellEnd"/>
            <w:r w:rsidRPr="00D24C9A">
              <w:rPr>
                <w:sz w:val="20"/>
                <w:szCs w:val="20"/>
              </w:rPr>
              <w:t>. E. Βασιλάκη). Αθήνα</w:t>
            </w:r>
            <w:r w:rsidRPr="000F781F">
              <w:rPr>
                <w:sz w:val="20"/>
                <w:szCs w:val="20"/>
                <w:lang w:val="en-US"/>
              </w:rPr>
              <w:t>: Gutenberg.</w:t>
            </w:r>
          </w:p>
          <w:p w:rsidR="00553E0D" w:rsidRPr="00D24C9A" w:rsidRDefault="00553E0D" w:rsidP="00205E51">
            <w:pPr>
              <w:pStyle w:val="a4"/>
              <w:spacing w:after="80" w:line="240" w:lineRule="auto"/>
              <w:ind w:left="-5"/>
              <w:jc w:val="both"/>
              <w:rPr>
                <w:sz w:val="20"/>
                <w:szCs w:val="20"/>
              </w:rPr>
            </w:pPr>
            <w:r w:rsidRPr="00D24C9A">
              <w:rPr>
                <w:sz w:val="20"/>
                <w:szCs w:val="20"/>
                <w:lang w:val="en-US"/>
              </w:rPr>
              <w:t xml:space="preserve">Herrmann, D. J., Yoder, C. Y., </w:t>
            </w:r>
            <w:proofErr w:type="spellStart"/>
            <w:r w:rsidRPr="00D24C9A">
              <w:rPr>
                <w:sz w:val="20"/>
                <w:szCs w:val="20"/>
                <w:lang w:val="en-US"/>
              </w:rPr>
              <w:t>Gruneberg</w:t>
            </w:r>
            <w:proofErr w:type="spellEnd"/>
            <w:r w:rsidRPr="00D24C9A">
              <w:rPr>
                <w:sz w:val="20"/>
                <w:szCs w:val="20"/>
                <w:lang w:val="en-US"/>
              </w:rPr>
              <w:t xml:space="preserve">, M., &amp; Payne, D. G. (2010). </w:t>
            </w:r>
            <w:r w:rsidRPr="00D24C9A">
              <w:rPr>
                <w:sz w:val="20"/>
                <w:szCs w:val="20"/>
              </w:rPr>
              <w:t>Εφαρμοσμένη γνωστική ψυχολογία (</w:t>
            </w:r>
            <w:proofErr w:type="spellStart"/>
            <w:r w:rsidRPr="00D24C9A">
              <w:rPr>
                <w:sz w:val="20"/>
                <w:szCs w:val="20"/>
              </w:rPr>
              <w:t>Επιμ.Έκδ</w:t>
            </w:r>
            <w:proofErr w:type="spellEnd"/>
            <w:r w:rsidRPr="00D24C9A">
              <w:rPr>
                <w:sz w:val="20"/>
                <w:szCs w:val="20"/>
              </w:rPr>
              <w:t xml:space="preserve">. Σ. Σαμαρτζή &amp; Α. </w:t>
            </w:r>
            <w:proofErr w:type="spellStart"/>
            <w:r w:rsidRPr="00D24C9A">
              <w:rPr>
                <w:sz w:val="20"/>
                <w:szCs w:val="20"/>
              </w:rPr>
              <w:t>Βατάκη</w:t>
            </w:r>
            <w:proofErr w:type="spellEnd"/>
            <w:r w:rsidRPr="00D24C9A">
              <w:rPr>
                <w:sz w:val="20"/>
                <w:szCs w:val="20"/>
              </w:rPr>
              <w:t>). Αθήνα: Πεδίο.</w:t>
            </w:r>
          </w:p>
          <w:p w:rsidR="000934A8" w:rsidRPr="00D24C9A" w:rsidRDefault="000934A8" w:rsidP="00205E51">
            <w:pPr>
              <w:pStyle w:val="a4"/>
              <w:spacing w:after="80" w:line="240" w:lineRule="auto"/>
              <w:ind w:left="-5"/>
              <w:jc w:val="both"/>
              <w:rPr>
                <w:sz w:val="20"/>
                <w:szCs w:val="20"/>
              </w:rPr>
            </w:pPr>
            <w:proofErr w:type="spellStart"/>
            <w:r w:rsidRPr="00D24C9A">
              <w:rPr>
                <w:sz w:val="20"/>
                <w:szCs w:val="20"/>
                <w:lang w:val="en-US"/>
              </w:rPr>
              <w:t>Schacter</w:t>
            </w:r>
            <w:proofErr w:type="spellEnd"/>
            <w:r w:rsidRPr="00D24C9A">
              <w:rPr>
                <w:sz w:val="20"/>
                <w:szCs w:val="20"/>
                <w:lang w:val="en-US"/>
              </w:rPr>
              <w:t>, D.</w:t>
            </w:r>
            <w:r w:rsidR="00553E0D" w:rsidRPr="00D24C9A">
              <w:rPr>
                <w:sz w:val="20"/>
                <w:szCs w:val="20"/>
                <w:lang w:val="en-US"/>
              </w:rPr>
              <w:t xml:space="preserve"> </w:t>
            </w:r>
            <w:r w:rsidRPr="00D24C9A">
              <w:rPr>
                <w:sz w:val="20"/>
                <w:szCs w:val="20"/>
                <w:lang w:val="en-US"/>
              </w:rPr>
              <w:t>L.</w:t>
            </w:r>
            <w:r w:rsidR="00553E0D" w:rsidRPr="00D24C9A">
              <w:rPr>
                <w:sz w:val="20"/>
                <w:szCs w:val="20"/>
                <w:lang w:val="en-US"/>
              </w:rPr>
              <w:t>, Gilbert, D. T., Nock, M. K., &amp; Wegner, D. M.</w:t>
            </w:r>
            <w:r w:rsidRPr="00D24C9A">
              <w:rPr>
                <w:sz w:val="20"/>
                <w:szCs w:val="20"/>
                <w:lang w:val="en-US"/>
              </w:rPr>
              <w:t xml:space="preserve"> (201</w:t>
            </w:r>
            <w:r w:rsidR="00553E0D" w:rsidRPr="00D24C9A">
              <w:rPr>
                <w:sz w:val="20"/>
                <w:szCs w:val="20"/>
                <w:lang w:val="en-US"/>
              </w:rPr>
              <w:t>8</w:t>
            </w:r>
            <w:r w:rsidRPr="00D24C9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4C9A">
              <w:rPr>
                <w:sz w:val="20"/>
                <w:szCs w:val="20"/>
              </w:rPr>
              <w:t>μτφρ</w:t>
            </w:r>
            <w:proofErr w:type="spellEnd"/>
            <w:r w:rsidRPr="00D24C9A">
              <w:rPr>
                <w:sz w:val="20"/>
                <w:szCs w:val="20"/>
                <w:lang w:val="en-US"/>
              </w:rPr>
              <w:t>). </w:t>
            </w:r>
            <w:r w:rsidRPr="00D24C9A">
              <w:rPr>
                <w:sz w:val="20"/>
                <w:szCs w:val="20"/>
              </w:rPr>
              <w:t xml:space="preserve">Ψυχολογία. Αθήνα: </w:t>
            </w:r>
            <w:r w:rsidR="00553E0D" w:rsidRPr="00D24C9A">
              <w:rPr>
                <w:sz w:val="20"/>
                <w:szCs w:val="20"/>
                <w:lang w:val="en-US"/>
              </w:rPr>
              <w:t>Utopia</w:t>
            </w:r>
            <w:r w:rsidR="00553E0D" w:rsidRPr="000F781F">
              <w:rPr>
                <w:sz w:val="20"/>
                <w:szCs w:val="20"/>
              </w:rPr>
              <w:t>.</w:t>
            </w:r>
          </w:p>
          <w:p w:rsidR="00B61E54" w:rsidRPr="00D24C9A" w:rsidRDefault="000934A8" w:rsidP="00205E51">
            <w:pPr>
              <w:pStyle w:val="a4"/>
              <w:spacing w:after="80" w:line="240" w:lineRule="auto"/>
              <w:ind w:left="-5"/>
              <w:jc w:val="both"/>
              <w:rPr>
                <w:sz w:val="20"/>
                <w:szCs w:val="20"/>
              </w:rPr>
            </w:pPr>
            <w:proofErr w:type="spellStart"/>
            <w:r w:rsidRPr="00D24C9A">
              <w:rPr>
                <w:sz w:val="20"/>
                <w:szCs w:val="20"/>
              </w:rPr>
              <w:t>Sternberg</w:t>
            </w:r>
            <w:proofErr w:type="spellEnd"/>
            <w:r w:rsidRPr="00D24C9A">
              <w:rPr>
                <w:sz w:val="20"/>
                <w:szCs w:val="20"/>
              </w:rPr>
              <w:t>, R. J. (2012). (</w:t>
            </w:r>
            <w:proofErr w:type="spellStart"/>
            <w:r w:rsidRPr="00D24C9A">
              <w:rPr>
                <w:sz w:val="20"/>
                <w:szCs w:val="20"/>
              </w:rPr>
              <w:t>Επιμ</w:t>
            </w:r>
            <w:proofErr w:type="spellEnd"/>
            <w:r w:rsidRPr="00D24C9A">
              <w:rPr>
                <w:sz w:val="20"/>
                <w:szCs w:val="20"/>
              </w:rPr>
              <w:t xml:space="preserve">. Γ. </w:t>
            </w:r>
            <w:proofErr w:type="spellStart"/>
            <w:r w:rsidRPr="00D24C9A">
              <w:rPr>
                <w:sz w:val="20"/>
                <w:szCs w:val="20"/>
              </w:rPr>
              <w:t>Ξανθάκου</w:t>
            </w:r>
            <w:proofErr w:type="spellEnd"/>
            <w:r w:rsidRPr="00D24C9A">
              <w:rPr>
                <w:sz w:val="20"/>
                <w:szCs w:val="20"/>
              </w:rPr>
              <w:t xml:space="preserve"> &amp; Μ. </w:t>
            </w:r>
            <w:proofErr w:type="spellStart"/>
            <w:r w:rsidRPr="00D24C9A">
              <w:rPr>
                <w:sz w:val="20"/>
                <w:szCs w:val="20"/>
              </w:rPr>
              <w:t>Καϊλα</w:t>
            </w:r>
            <w:proofErr w:type="spellEnd"/>
            <w:r w:rsidRPr="00D24C9A">
              <w:rPr>
                <w:sz w:val="20"/>
                <w:szCs w:val="20"/>
              </w:rPr>
              <w:t xml:space="preserve">). Γνωστική ψυχολογία. Αθήνα: </w:t>
            </w:r>
            <w:proofErr w:type="spellStart"/>
            <w:r w:rsidRPr="00D24C9A">
              <w:rPr>
                <w:sz w:val="20"/>
                <w:szCs w:val="20"/>
              </w:rPr>
              <w:t>Διάδραση</w:t>
            </w:r>
            <w:proofErr w:type="spellEnd"/>
            <w:r w:rsidRPr="00D24C9A">
              <w:rPr>
                <w:sz w:val="20"/>
                <w:szCs w:val="20"/>
              </w:rPr>
              <w:t>.</w:t>
            </w:r>
          </w:p>
          <w:p w:rsidR="00EC4E6D" w:rsidRPr="00D24C9A" w:rsidRDefault="00EC4E6D" w:rsidP="00205E51">
            <w:pPr>
              <w:pStyle w:val="a4"/>
              <w:spacing w:after="80" w:line="240" w:lineRule="auto"/>
              <w:ind w:left="714"/>
              <w:jc w:val="both"/>
              <w:rPr>
                <w:sz w:val="20"/>
                <w:szCs w:val="20"/>
              </w:rPr>
            </w:pPr>
          </w:p>
          <w:p w:rsidR="00955FA7" w:rsidRPr="000F781F" w:rsidRDefault="00EC4E6D" w:rsidP="00205E51">
            <w:pPr>
              <w:pStyle w:val="a4"/>
              <w:spacing w:after="80" w:line="240" w:lineRule="auto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0F781F">
              <w:rPr>
                <w:rFonts w:cs="Arial"/>
                <w:b/>
                <w:i/>
                <w:sz w:val="20"/>
                <w:szCs w:val="20"/>
              </w:rPr>
              <w:t xml:space="preserve">- </w:t>
            </w:r>
            <w:r w:rsidR="00B61E54" w:rsidRPr="00D24C9A">
              <w:rPr>
                <w:rFonts w:cs="Arial"/>
                <w:b/>
                <w:i/>
                <w:sz w:val="20"/>
                <w:szCs w:val="20"/>
              </w:rPr>
              <w:t>Συναφή Επιστημονικά περιοδικά</w:t>
            </w:r>
          </w:p>
          <w:p w:rsidR="00B61E54" w:rsidRPr="00D24C9A" w:rsidRDefault="00E17E35" w:rsidP="00205E51">
            <w:pPr>
              <w:pStyle w:val="a4"/>
              <w:numPr>
                <w:ilvl w:val="0"/>
                <w:numId w:val="14"/>
              </w:numPr>
              <w:spacing w:after="8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24C9A">
              <w:rPr>
                <w:sz w:val="20"/>
                <w:szCs w:val="20"/>
              </w:rPr>
              <w:t>American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  <w:r w:rsidRPr="00D24C9A">
              <w:rPr>
                <w:sz w:val="20"/>
                <w:szCs w:val="20"/>
                <w:lang w:val="en-US"/>
              </w:rPr>
              <w:t>P</w:t>
            </w:r>
            <w:proofErr w:type="spellStart"/>
            <w:r w:rsidR="00B61E54" w:rsidRPr="00D24C9A">
              <w:rPr>
                <w:sz w:val="20"/>
                <w:szCs w:val="20"/>
              </w:rPr>
              <w:t>sychologist</w:t>
            </w:r>
            <w:proofErr w:type="spellEnd"/>
          </w:p>
          <w:p w:rsidR="00EC4E6D" w:rsidRPr="00D24C9A" w:rsidRDefault="00EC4E6D" w:rsidP="00205E51">
            <w:pPr>
              <w:numPr>
                <w:ilvl w:val="0"/>
                <w:numId w:val="14"/>
              </w:numPr>
              <w:spacing w:after="8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</w:rPr>
              <w:t>Cognitive Psychology</w:t>
            </w:r>
          </w:p>
          <w:p w:rsidR="00EC4E6D" w:rsidRPr="00D24C9A" w:rsidRDefault="00EC4E6D" w:rsidP="00205E51">
            <w:pPr>
              <w:numPr>
                <w:ilvl w:val="0"/>
                <w:numId w:val="14"/>
              </w:numPr>
              <w:spacing w:after="8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</w:rPr>
              <w:t>Consciousness &amp; Cognition</w:t>
            </w:r>
          </w:p>
          <w:p w:rsidR="00B61E54" w:rsidRPr="00D24C9A" w:rsidRDefault="00B61E54" w:rsidP="00205E51">
            <w:pPr>
              <w:pStyle w:val="a4"/>
              <w:numPr>
                <w:ilvl w:val="0"/>
                <w:numId w:val="14"/>
              </w:numPr>
              <w:spacing w:after="8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24C9A">
              <w:rPr>
                <w:sz w:val="20"/>
                <w:szCs w:val="20"/>
              </w:rPr>
              <w:t>Hellenic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  <w:proofErr w:type="spellStart"/>
            <w:r w:rsidRPr="00D24C9A">
              <w:rPr>
                <w:sz w:val="20"/>
                <w:szCs w:val="20"/>
              </w:rPr>
              <w:t>Journal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  <w:proofErr w:type="spellStart"/>
            <w:r w:rsidRPr="00D24C9A">
              <w:rPr>
                <w:sz w:val="20"/>
                <w:szCs w:val="20"/>
              </w:rPr>
              <w:t>of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  <w:proofErr w:type="spellStart"/>
            <w:r w:rsidRPr="00D24C9A">
              <w:rPr>
                <w:sz w:val="20"/>
                <w:szCs w:val="20"/>
              </w:rPr>
              <w:t>Psychology</w:t>
            </w:r>
            <w:proofErr w:type="spellEnd"/>
          </w:p>
          <w:p w:rsidR="00B61E54" w:rsidRPr="00D24C9A" w:rsidRDefault="00B61E54" w:rsidP="00205E51">
            <w:pPr>
              <w:pStyle w:val="a4"/>
              <w:numPr>
                <w:ilvl w:val="0"/>
                <w:numId w:val="14"/>
              </w:numPr>
              <w:spacing w:after="8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24C9A">
              <w:rPr>
                <w:sz w:val="20"/>
                <w:szCs w:val="20"/>
              </w:rPr>
              <w:t>Journal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  <w:proofErr w:type="spellStart"/>
            <w:r w:rsidRPr="00D24C9A">
              <w:rPr>
                <w:sz w:val="20"/>
                <w:szCs w:val="20"/>
              </w:rPr>
              <w:t>of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  <w:proofErr w:type="spellStart"/>
            <w:r w:rsidRPr="00D24C9A">
              <w:rPr>
                <w:sz w:val="20"/>
                <w:szCs w:val="20"/>
              </w:rPr>
              <w:t>Applied</w:t>
            </w:r>
            <w:proofErr w:type="spellEnd"/>
            <w:r w:rsidRPr="00D24C9A">
              <w:rPr>
                <w:sz w:val="20"/>
                <w:szCs w:val="20"/>
              </w:rPr>
              <w:t xml:space="preserve"> </w:t>
            </w:r>
            <w:proofErr w:type="spellStart"/>
            <w:r w:rsidRPr="00D24C9A">
              <w:rPr>
                <w:sz w:val="20"/>
                <w:szCs w:val="20"/>
              </w:rPr>
              <w:t>Psychology</w:t>
            </w:r>
            <w:proofErr w:type="spellEnd"/>
          </w:p>
          <w:p w:rsidR="00205E51" w:rsidRPr="00D24C9A" w:rsidRDefault="00EC4E6D" w:rsidP="00205E51">
            <w:pPr>
              <w:numPr>
                <w:ilvl w:val="0"/>
                <w:numId w:val="14"/>
              </w:numPr>
              <w:spacing w:after="8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</w:rPr>
              <w:t>Journal of Experimental Psychology: Learning, Memory &amp; Cognition</w:t>
            </w:r>
          </w:p>
          <w:p w:rsidR="00955FA7" w:rsidRPr="00D24C9A" w:rsidRDefault="00EC4E6D" w:rsidP="00205E51">
            <w:pPr>
              <w:numPr>
                <w:ilvl w:val="0"/>
                <w:numId w:val="14"/>
              </w:numPr>
              <w:spacing w:after="8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24C9A">
              <w:rPr>
                <w:rFonts w:ascii="Calibri" w:hAnsi="Calibri" w:cs="Arial"/>
                <w:sz w:val="20"/>
                <w:szCs w:val="20"/>
              </w:rPr>
              <w:t xml:space="preserve">Memory &amp; Cognition  </w:t>
            </w:r>
          </w:p>
        </w:tc>
      </w:tr>
    </w:tbl>
    <w:p w:rsidR="00BE7D61" w:rsidRPr="00D24C9A" w:rsidRDefault="00BE7D61"/>
    <w:sectPr w:rsidR="00BE7D61" w:rsidRPr="00D24C9A" w:rsidSect="000F7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C78"/>
    <w:multiLevelType w:val="hybridMultilevel"/>
    <w:tmpl w:val="9760D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2161"/>
    <w:multiLevelType w:val="hybridMultilevel"/>
    <w:tmpl w:val="58E84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49BC"/>
    <w:multiLevelType w:val="hybridMultilevel"/>
    <w:tmpl w:val="FB14B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297591"/>
    <w:multiLevelType w:val="hybridMultilevel"/>
    <w:tmpl w:val="DAACA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22C62"/>
    <w:multiLevelType w:val="hybridMultilevel"/>
    <w:tmpl w:val="CA7A3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01BC9"/>
    <w:multiLevelType w:val="hybridMultilevel"/>
    <w:tmpl w:val="234695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E1606"/>
    <w:multiLevelType w:val="hybridMultilevel"/>
    <w:tmpl w:val="1E867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3614A"/>
    <w:multiLevelType w:val="hybridMultilevel"/>
    <w:tmpl w:val="43BACD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85F21"/>
    <w:multiLevelType w:val="hybridMultilevel"/>
    <w:tmpl w:val="64EC1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B636B"/>
    <w:multiLevelType w:val="hybridMultilevel"/>
    <w:tmpl w:val="C8609D08"/>
    <w:lvl w:ilvl="0" w:tplc="1E309C32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418E"/>
    <w:multiLevelType w:val="hybridMultilevel"/>
    <w:tmpl w:val="D59EA04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6064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6F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62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41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3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08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FC7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EE4171"/>
    <w:multiLevelType w:val="hybridMultilevel"/>
    <w:tmpl w:val="B25057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3033C"/>
    <w:multiLevelType w:val="hybridMultilevel"/>
    <w:tmpl w:val="9A6A3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76C76"/>
    <w:multiLevelType w:val="hybridMultilevel"/>
    <w:tmpl w:val="59544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B3AAF"/>
    <w:multiLevelType w:val="hybridMultilevel"/>
    <w:tmpl w:val="FD5660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16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5"/>
  </w:num>
  <w:num w:numId="14">
    <w:abstractNumId w:val="9"/>
  </w:num>
  <w:num w:numId="15">
    <w:abstractNumId w:val="14"/>
  </w:num>
  <w:num w:numId="16">
    <w:abstractNumId w:val="4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55FA7"/>
    <w:rsid w:val="00012A39"/>
    <w:rsid w:val="000176B0"/>
    <w:rsid w:val="00017A61"/>
    <w:rsid w:val="000208C6"/>
    <w:rsid w:val="0005458F"/>
    <w:rsid w:val="00061290"/>
    <w:rsid w:val="000934A8"/>
    <w:rsid w:val="000A159A"/>
    <w:rsid w:val="000B59FF"/>
    <w:rsid w:val="000E2493"/>
    <w:rsid w:val="000E60CA"/>
    <w:rsid w:val="000F781F"/>
    <w:rsid w:val="000F7AB4"/>
    <w:rsid w:val="00152BD6"/>
    <w:rsid w:val="00172D72"/>
    <w:rsid w:val="001853CB"/>
    <w:rsid w:val="00186F05"/>
    <w:rsid w:val="00205E51"/>
    <w:rsid w:val="00211FD4"/>
    <w:rsid w:val="002447EA"/>
    <w:rsid w:val="002728CF"/>
    <w:rsid w:val="00290760"/>
    <w:rsid w:val="002B525E"/>
    <w:rsid w:val="002E4DE6"/>
    <w:rsid w:val="003170DD"/>
    <w:rsid w:val="00331E7F"/>
    <w:rsid w:val="00361D86"/>
    <w:rsid w:val="00370A11"/>
    <w:rsid w:val="0039258D"/>
    <w:rsid w:val="003F6C90"/>
    <w:rsid w:val="00400C7D"/>
    <w:rsid w:val="00420A7D"/>
    <w:rsid w:val="00441930"/>
    <w:rsid w:val="00476462"/>
    <w:rsid w:val="004E34CF"/>
    <w:rsid w:val="004E5153"/>
    <w:rsid w:val="00515BEA"/>
    <w:rsid w:val="005214CF"/>
    <w:rsid w:val="005525E3"/>
    <w:rsid w:val="00553E0D"/>
    <w:rsid w:val="00590B6C"/>
    <w:rsid w:val="005C742E"/>
    <w:rsid w:val="00630924"/>
    <w:rsid w:val="0065770F"/>
    <w:rsid w:val="00663E4B"/>
    <w:rsid w:val="006737B6"/>
    <w:rsid w:val="006A08B5"/>
    <w:rsid w:val="006D6EC8"/>
    <w:rsid w:val="006E1138"/>
    <w:rsid w:val="00700B15"/>
    <w:rsid w:val="00746DA4"/>
    <w:rsid w:val="007552E5"/>
    <w:rsid w:val="007A64DA"/>
    <w:rsid w:val="007B6842"/>
    <w:rsid w:val="007C1152"/>
    <w:rsid w:val="007C5B87"/>
    <w:rsid w:val="007E6DC0"/>
    <w:rsid w:val="00806709"/>
    <w:rsid w:val="008326ED"/>
    <w:rsid w:val="008B7F75"/>
    <w:rsid w:val="008F0C14"/>
    <w:rsid w:val="00955FA7"/>
    <w:rsid w:val="0096413D"/>
    <w:rsid w:val="009B4989"/>
    <w:rsid w:val="009D0F0A"/>
    <w:rsid w:val="009F7892"/>
    <w:rsid w:val="00A07A67"/>
    <w:rsid w:val="00A17C46"/>
    <w:rsid w:val="00A22584"/>
    <w:rsid w:val="00A32EE2"/>
    <w:rsid w:val="00A35754"/>
    <w:rsid w:val="00A57DCE"/>
    <w:rsid w:val="00A7130F"/>
    <w:rsid w:val="00A976B8"/>
    <w:rsid w:val="00AE3AEC"/>
    <w:rsid w:val="00AF2B33"/>
    <w:rsid w:val="00AF3F98"/>
    <w:rsid w:val="00B150F0"/>
    <w:rsid w:val="00B20F93"/>
    <w:rsid w:val="00B2186A"/>
    <w:rsid w:val="00B409CB"/>
    <w:rsid w:val="00B56663"/>
    <w:rsid w:val="00B61E54"/>
    <w:rsid w:val="00B70532"/>
    <w:rsid w:val="00B8786F"/>
    <w:rsid w:val="00BA46EE"/>
    <w:rsid w:val="00BC3EE4"/>
    <w:rsid w:val="00BE7D61"/>
    <w:rsid w:val="00C2164D"/>
    <w:rsid w:val="00C40A0A"/>
    <w:rsid w:val="00C730E0"/>
    <w:rsid w:val="00C777E8"/>
    <w:rsid w:val="00CB23CE"/>
    <w:rsid w:val="00D24C9A"/>
    <w:rsid w:val="00D361B2"/>
    <w:rsid w:val="00D844C9"/>
    <w:rsid w:val="00D95477"/>
    <w:rsid w:val="00DD3FEF"/>
    <w:rsid w:val="00DF2B0A"/>
    <w:rsid w:val="00E17E35"/>
    <w:rsid w:val="00E34DD5"/>
    <w:rsid w:val="00E56684"/>
    <w:rsid w:val="00E65969"/>
    <w:rsid w:val="00E70A5D"/>
    <w:rsid w:val="00EC4E6D"/>
    <w:rsid w:val="00F04E8E"/>
    <w:rsid w:val="00F372DF"/>
    <w:rsid w:val="00F41366"/>
    <w:rsid w:val="00F45EFB"/>
    <w:rsid w:val="00FA0DDB"/>
    <w:rsid w:val="00FD54A5"/>
    <w:rsid w:val="00FE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FA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955FA7"/>
    <w:pPr>
      <w:keepNext/>
      <w:spacing w:before="240" w:after="480"/>
      <w:outlineLvl w:val="0"/>
    </w:pPr>
    <w:rPr>
      <w:rFonts w:ascii="Arial" w:hAnsi="Arial" w:cs="Arial"/>
      <w:b/>
      <w:bCs/>
      <w:sz w:val="32"/>
      <w:lang w:val="el-GR"/>
    </w:rPr>
  </w:style>
  <w:style w:type="paragraph" w:styleId="2">
    <w:name w:val="heading 2"/>
    <w:basedOn w:val="a"/>
    <w:next w:val="a"/>
    <w:link w:val="2Char"/>
    <w:semiHidden/>
    <w:unhideWhenUsed/>
    <w:qFormat/>
    <w:rsid w:val="00BA46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55FA7"/>
    <w:rPr>
      <w:rFonts w:ascii="Arial" w:hAnsi="Arial" w:cs="Arial"/>
      <w:b/>
      <w:bCs/>
      <w:sz w:val="32"/>
      <w:szCs w:val="24"/>
      <w:lang w:val="el-GR" w:eastAsia="en-US" w:bidi="ar-SA"/>
    </w:rPr>
  </w:style>
  <w:style w:type="character" w:customStyle="1" w:styleId="Char">
    <w:name w:val="Σώμα κειμένου Char"/>
    <w:link w:val="a3"/>
    <w:locked/>
    <w:rsid w:val="00955FA7"/>
    <w:rPr>
      <w:sz w:val="24"/>
      <w:szCs w:val="24"/>
      <w:lang w:val="en-US" w:eastAsia="en-US" w:bidi="ar-SA"/>
    </w:rPr>
  </w:style>
  <w:style w:type="paragraph" w:styleId="a3">
    <w:name w:val="Body Text"/>
    <w:basedOn w:val="a"/>
    <w:link w:val="Char"/>
    <w:rsid w:val="00955FA7"/>
    <w:pPr>
      <w:jc w:val="both"/>
    </w:pPr>
  </w:style>
  <w:style w:type="paragraph" w:customStyle="1" w:styleId="msonormalcxsp">
    <w:name w:val="msonormalcxspμεσαίο"/>
    <w:basedOn w:val="a"/>
    <w:rsid w:val="00955FA7"/>
    <w:pPr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rsid w:val="00B409C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61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5">
    <w:name w:val="Subtitle"/>
    <w:basedOn w:val="a"/>
    <w:next w:val="a"/>
    <w:link w:val="Char0"/>
    <w:uiPriority w:val="11"/>
    <w:qFormat/>
    <w:rsid w:val="00BA46EE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l-GR"/>
    </w:rPr>
  </w:style>
  <w:style w:type="character" w:customStyle="1" w:styleId="Char0">
    <w:name w:val="Υπότιτλος Char"/>
    <w:basedOn w:val="a0"/>
    <w:link w:val="a5"/>
    <w:uiPriority w:val="11"/>
    <w:rsid w:val="00BA46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2Char">
    <w:name w:val="Επικεφαλίδα 2 Char"/>
    <w:basedOn w:val="a0"/>
    <w:link w:val="2"/>
    <w:semiHidden/>
    <w:rsid w:val="00BA46E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E70A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Char1"/>
    <w:rsid w:val="00205E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05E5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2018-06-21T12:45:00Z</cp:lastPrinted>
  <dcterms:created xsi:type="dcterms:W3CDTF">2020-01-25T09:39:00Z</dcterms:created>
  <dcterms:modified xsi:type="dcterms:W3CDTF">2020-01-28T12:41:00Z</dcterms:modified>
</cp:coreProperties>
</file>